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E2963" w14:textId="4DA6378A" w:rsidR="009E7EF6" w:rsidRPr="00D51090" w:rsidRDefault="009E7EF6" w:rsidP="000E06E1">
      <w:pPr>
        <w:pStyle w:val="Heading1"/>
        <w:spacing w:before="0" w:after="0"/>
        <w:ind w:right="1985"/>
        <w:contextualSpacing w:val="0"/>
        <w:rPr>
          <w:rFonts w:asciiTheme="minorHAnsi" w:eastAsiaTheme="minorEastAsia" w:hAnsiTheme="minorHAnsi" w:cstheme="minorBidi"/>
          <w:iCs w:val="0"/>
          <w:caps w:val="0"/>
          <w:color w:val="414042" w:themeColor="text1"/>
          <w:sz w:val="32"/>
          <w:szCs w:val="32"/>
          <w:lang w:val="en-AU" w:bidi="ar-SA"/>
        </w:rPr>
      </w:pPr>
      <w:bookmarkStart w:id="0" w:name="InvestmentsCurrentMarketView"/>
      <w:r w:rsidRPr="00D51090">
        <w:rPr>
          <w:rFonts w:asciiTheme="minorHAnsi" w:eastAsiaTheme="minorEastAsia" w:hAnsiTheme="minorHAnsi" w:cstheme="minorBidi"/>
          <w:iCs w:val="0"/>
          <w:caps w:val="0"/>
          <w:color w:val="414042" w:themeColor="text1"/>
          <w:sz w:val="32"/>
          <w:szCs w:val="32"/>
          <w:lang w:val="en-AU" w:bidi="ar-SA"/>
        </w:rPr>
        <w:t>Current Market View</w:t>
      </w:r>
      <w:r w:rsidR="00670764" w:rsidRPr="00D51090">
        <w:rPr>
          <w:rFonts w:asciiTheme="minorHAnsi" w:eastAsiaTheme="minorEastAsia" w:hAnsiTheme="minorHAnsi" w:cstheme="minorBidi"/>
          <w:iCs w:val="0"/>
          <w:caps w:val="0"/>
          <w:color w:val="414042" w:themeColor="text1"/>
          <w:sz w:val="32"/>
          <w:szCs w:val="32"/>
          <w:lang w:val="en-AU" w:bidi="ar-SA"/>
        </w:rPr>
        <w:t xml:space="preserve"> – </w:t>
      </w:r>
      <w:r w:rsidR="000D4328">
        <w:rPr>
          <w:rFonts w:asciiTheme="minorHAnsi" w:eastAsiaTheme="minorEastAsia" w:hAnsiTheme="minorHAnsi" w:cstheme="minorBidi"/>
          <w:iCs w:val="0"/>
          <w:caps w:val="0"/>
          <w:color w:val="414042" w:themeColor="text1"/>
          <w:sz w:val="32"/>
          <w:szCs w:val="32"/>
          <w:lang w:val="en-AU" w:bidi="ar-SA"/>
        </w:rPr>
        <w:t>August</w:t>
      </w:r>
      <w:r w:rsidR="00670764" w:rsidRPr="00D51090">
        <w:rPr>
          <w:rFonts w:asciiTheme="minorHAnsi" w:eastAsiaTheme="minorEastAsia" w:hAnsiTheme="minorHAnsi" w:cstheme="minorBidi"/>
          <w:iCs w:val="0"/>
          <w:caps w:val="0"/>
          <w:color w:val="414042" w:themeColor="text1"/>
          <w:sz w:val="32"/>
          <w:szCs w:val="32"/>
          <w:lang w:val="en-AU" w:bidi="ar-SA"/>
        </w:rPr>
        <w:t xml:space="preserve"> 202</w:t>
      </w:r>
      <w:r w:rsidR="008129CC">
        <w:rPr>
          <w:rFonts w:asciiTheme="minorHAnsi" w:eastAsiaTheme="minorEastAsia" w:hAnsiTheme="minorHAnsi" w:cstheme="minorBidi"/>
          <w:iCs w:val="0"/>
          <w:caps w:val="0"/>
          <w:color w:val="414042" w:themeColor="text1"/>
          <w:sz w:val="32"/>
          <w:szCs w:val="32"/>
          <w:lang w:val="en-AU" w:bidi="ar-SA"/>
        </w:rPr>
        <w:t>6</w:t>
      </w:r>
    </w:p>
    <w:p w14:paraId="69DA8B77" w14:textId="72194298" w:rsidR="001C4983" w:rsidRPr="00C9457D" w:rsidRDefault="001C4983" w:rsidP="00912096">
      <w:pPr>
        <w:rPr>
          <w:rFonts w:asciiTheme="majorHAnsi" w:hAnsiTheme="majorHAnsi" w:cstheme="majorHAnsi"/>
          <w:b/>
          <w:bCs/>
          <w:sz w:val="24"/>
          <w:szCs w:val="24"/>
        </w:rPr>
      </w:pPr>
      <w:r w:rsidRPr="00C9457D">
        <w:rPr>
          <w:rFonts w:asciiTheme="majorHAnsi" w:hAnsiTheme="majorHAnsi" w:cstheme="majorHAnsi"/>
          <w:b/>
          <w:bCs/>
          <w:sz w:val="24"/>
          <w:szCs w:val="24"/>
        </w:rPr>
        <w:t>Investment Markets</w:t>
      </w:r>
    </w:p>
    <w:p w14:paraId="2B5D34C2" w14:textId="12EA1B96" w:rsidR="00502D7A" w:rsidRPr="00C9457D" w:rsidRDefault="00502D7A" w:rsidP="00F40119">
      <w:pPr>
        <w:rPr>
          <w:rFonts w:asciiTheme="majorHAnsi" w:hAnsiTheme="majorHAnsi" w:cstheme="majorHAnsi"/>
          <w:b/>
          <w:bCs/>
        </w:rPr>
      </w:pPr>
      <w:r w:rsidRPr="00C9457D">
        <w:rPr>
          <w:rFonts w:asciiTheme="majorHAnsi" w:hAnsiTheme="majorHAnsi" w:cstheme="majorHAnsi"/>
          <w:b/>
          <w:bCs/>
        </w:rPr>
        <w:t>Global Markets</w:t>
      </w:r>
    </w:p>
    <w:p w14:paraId="21CCC19D" w14:textId="1BBCB348" w:rsidR="00B57769" w:rsidRPr="00142DC0" w:rsidRDefault="00B57769" w:rsidP="00C82114">
      <w:pPr>
        <w:jc w:val="both"/>
        <w:rPr>
          <w:rFonts w:ascii="Calibri" w:hAnsi="Calibri" w:cs="Calibri"/>
          <w:color w:val="222222"/>
          <w:shd w:val="clear" w:color="auto" w:fill="FFFFFF"/>
        </w:rPr>
      </w:pPr>
      <w:r w:rsidRPr="00142DC0">
        <w:rPr>
          <w:rFonts w:ascii="Calibri" w:hAnsi="Calibri" w:cs="Calibri"/>
          <w:color w:val="222222"/>
          <w:shd w:val="clear" w:color="auto" w:fill="FFFFFF"/>
        </w:rPr>
        <w:t xml:space="preserve">Global </w:t>
      </w:r>
      <w:r w:rsidR="002003BD" w:rsidRPr="00142DC0">
        <w:rPr>
          <w:rFonts w:ascii="Calibri" w:hAnsi="Calibri" w:cs="Calibri"/>
          <w:color w:val="222222"/>
          <w:shd w:val="clear" w:color="auto" w:fill="FFFFFF"/>
        </w:rPr>
        <w:t>mark</w:t>
      </w:r>
      <w:r w:rsidR="005F2AC4" w:rsidRPr="00142DC0">
        <w:rPr>
          <w:rFonts w:ascii="Calibri" w:hAnsi="Calibri" w:cs="Calibri"/>
          <w:color w:val="222222"/>
          <w:shd w:val="clear" w:color="auto" w:fill="FFFFFF"/>
        </w:rPr>
        <w:t>ets</w:t>
      </w:r>
      <w:r w:rsidRPr="00142DC0">
        <w:rPr>
          <w:rFonts w:ascii="Calibri" w:hAnsi="Calibri" w:cs="Calibri"/>
          <w:color w:val="222222"/>
          <w:shd w:val="clear" w:color="auto" w:fill="FFFFFF"/>
        </w:rPr>
        <w:t xml:space="preserve"> staged a clean rebound in August 2026, unwinding July’s drawdown as earnings strengt</w:t>
      </w:r>
      <w:r w:rsidRPr="00142DC0">
        <w:rPr>
          <w:rFonts w:ascii="Calibri" w:hAnsi="Calibri" w:cs="Calibri"/>
          <w:color w:val="222222"/>
          <w:shd w:val="clear" w:color="auto" w:fill="FFFFFF"/>
        </w:rPr>
        <w:t>h (</w:t>
      </w:r>
      <w:r w:rsidRPr="00142DC0">
        <w:rPr>
          <w:rFonts w:ascii="Calibri" w:hAnsi="Calibri" w:cs="Calibri"/>
          <w:color w:val="222222"/>
          <w:shd w:val="clear" w:color="auto" w:fill="FFFFFF"/>
        </w:rPr>
        <w:t xml:space="preserve">led by </w:t>
      </w:r>
      <w:r w:rsidRPr="00142DC0">
        <w:rPr>
          <w:rFonts w:ascii="Calibri" w:hAnsi="Calibri" w:cs="Calibri"/>
          <w:color w:val="222222"/>
          <w:shd w:val="clear" w:color="auto" w:fill="FFFFFF"/>
        </w:rPr>
        <w:t xml:space="preserve">mega-cap </w:t>
      </w:r>
      <w:r w:rsidRPr="00142DC0">
        <w:rPr>
          <w:rFonts w:ascii="Calibri" w:hAnsi="Calibri" w:cs="Calibri"/>
          <w:color w:val="222222"/>
          <w:shd w:val="clear" w:color="auto" w:fill="FFFFFF"/>
        </w:rPr>
        <w:t>Nvidia</w:t>
      </w:r>
      <w:r w:rsidRPr="00142DC0">
        <w:rPr>
          <w:rFonts w:ascii="Calibri" w:hAnsi="Calibri" w:cs="Calibri"/>
          <w:color w:val="222222"/>
          <w:shd w:val="clear" w:color="auto" w:fill="FFFFFF"/>
        </w:rPr>
        <w:t xml:space="preserve">) </w:t>
      </w:r>
      <w:r w:rsidRPr="00142DC0">
        <w:rPr>
          <w:rFonts w:ascii="Calibri" w:hAnsi="Calibri" w:cs="Calibri"/>
          <w:color w:val="222222"/>
          <w:shd w:val="clear" w:color="auto" w:fill="FFFFFF"/>
        </w:rPr>
        <w:t>reasserted itself and macro conditions remained broadly supportive. Risk appetite rotated back toward AI</w:t>
      </w:r>
      <w:r w:rsidRPr="00142DC0">
        <w:rPr>
          <w:rFonts w:ascii="Calibri" w:hAnsi="Calibri" w:cs="Calibri"/>
          <w:color w:val="222222"/>
          <w:shd w:val="clear" w:color="auto" w:fill="FFFFFF"/>
        </w:rPr>
        <w:noBreakHyphen/>
        <w:t>exposed sectors, lifting major</w:t>
      </w:r>
      <w:r w:rsidRPr="00142DC0">
        <w:rPr>
          <w:rFonts w:ascii="Calibri" w:hAnsi="Calibri" w:cs="Calibri"/>
          <w:color w:val="222222"/>
          <w:shd w:val="clear" w:color="auto" w:fill="FFFFFF"/>
        </w:rPr>
        <w:t xml:space="preserve"> global equity</w:t>
      </w:r>
      <w:r w:rsidRPr="00142DC0">
        <w:rPr>
          <w:rFonts w:ascii="Calibri" w:hAnsi="Calibri" w:cs="Calibri"/>
          <w:color w:val="222222"/>
          <w:shd w:val="clear" w:color="auto" w:fill="FFFFFF"/>
        </w:rPr>
        <w:t xml:space="preserve"> benchmarks: developed markets gained </w:t>
      </w:r>
      <w:r w:rsidRPr="00142DC0">
        <w:rPr>
          <w:rFonts w:ascii="Calibri" w:hAnsi="Calibri" w:cs="Calibri"/>
          <w:color w:val="222222"/>
          <w:shd w:val="clear" w:color="auto" w:fill="FFFFFF"/>
        </w:rPr>
        <w:t>+</w:t>
      </w:r>
      <w:r w:rsidRPr="00142DC0">
        <w:rPr>
          <w:rFonts w:ascii="Calibri" w:hAnsi="Calibri" w:cs="Calibri"/>
          <w:color w:val="222222"/>
          <w:shd w:val="clear" w:color="auto" w:fill="FFFFFF"/>
        </w:rPr>
        <w:t xml:space="preserve">2.6%, emerging markets </w:t>
      </w:r>
      <w:r w:rsidR="002B596D" w:rsidRPr="00142DC0">
        <w:rPr>
          <w:rFonts w:ascii="Calibri" w:hAnsi="Calibri" w:cs="Calibri"/>
          <w:color w:val="222222"/>
          <w:shd w:val="clear" w:color="auto" w:fill="FFFFFF"/>
        </w:rPr>
        <w:t>+</w:t>
      </w:r>
      <w:r w:rsidRPr="00142DC0">
        <w:rPr>
          <w:rFonts w:ascii="Calibri" w:hAnsi="Calibri" w:cs="Calibri"/>
          <w:color w:val="222222"/>
          <w:shd w:val="clear" w:color="auto" w:fill="FFFFFF"/>
        </w:rPr>
        <w:t>3.4%, with MSCI World and MSCI EM returning 2.9% and 3.6% respectively. The month was characterised by resilient data, improving liquidity conditions, and a</w:t>
      </w:r>
      <w:r w:rsidR="002B596D" w:rsidRPr="00142DC0">
        <w:rPr>
          <w:rFonts w:ascii="Calibri" w:hAnsi="Calibri" w:cs="Calibri"/>
          <w:color w:val="222222"/>
          <w:shd w:val="clear" w:color="auto" w:fill="FFFFFF"/>
        </w:rPr>
        <w:t xml:space="preserve"> rotation back into growth stocks. </w:t>
      </w:r>
    </w:p>
    <w:p w14:paraId="1C909C94" w14:textId="31369664" w:rsidR="00350A94" w:rsidRPr="00142DC0" w:rsidRDefault="002003BD" w:rsidP="007152C2">
      <w:pPr>
        <w:jc w:val="both"/>
        <w:rPr>
          <w:rFonts w:ascii="Calibri" w:hAnsi="Calibri" w:cs="Calibri"/>
          <w:color w:val="222222"/>
          <w:shd w:val="clear" w:color="auto" w:fill="FFFFFF"/>
        </w:rPr>
      </w:pPr>
      <w:r w:rsidRPr="00142DC0">
        <w:rPr>
          <w:rFonts w:ascii="Calibri" w:hAnsi="Calibri" w:cs="Calibri"/>
          <w:color w:val="222222"/>
          <w:shd w:val="clear" w:color="auto" w:fill="FFFFFF"/>
        </w:rPr>
        <w:t>Conversely</w:t>
      </w:r>
      <w:r w:rsidR="005F2AC4" w:rsidRPr="00142DC0">
        <w:rPr>
          <w:rFonts w:ascii="Calibri" w:hAnsi="Calibri" w:cs="Calibri"/>
          <w:color w:val="222222"/>
          <w:shd w:val="clear" w:color="auto" w:fill="FFFFFF"/>
        </w:rPr>
        <w:t>,</w:t>
      </w:r>
      <w:r w:rsidRPr="00142DC0">
        <w:rPr>
          <w:rFonts w:ascii="Calibri" w:hAnsi="Calibri" w:cs="Calibri"/>
          <w:color w:val="222222"/>
          <w:shd w:val="clear" w:color="auto" w:fill="FFFFFF"/>
        </w:rPr>
        <w:t xml:space="preserve"> g</w:t>
      </w:r>
      <w:r w:rsidR="00350A94" w:rsidRPr="00142DC0">
        <w:rPr>
          <w:rFonts w:ascii="Calibri" w:hAnsi="Calibri" w:cs="Calibri"/>
          <w:color w:val="222222"/>
          <w:shd w:val="clear" w:color="auto" w:fill="FFFFFF"/>
        </w:rPr>
        <w:t xml:space="preserve">lobal bonds had a far tougher month, with Fed Chair Warsh’s hawkish Jackson Hole speech </w:t>
      </w:r>
      <w:r w:rsidR="00F008D5" w:rsidRPr="00142DC0">
        <w:rPr>
          <w:rFonts w:ascii="Calibri" w:hAnsi="Calibri" w:cs="Calibri"/>
          <w:color w:val="222222"/>
          <w:shd w:val="clear" w:color="auto" w:fill="FFFFFF"/>
        </w:rPr>
        <w:t>pushing</w:t>
      </w:r>
      <w:r w:rsidR="00350A94" w:rsidRPr="00142DC0">
        <w:rPr>
          <w:rFonts w:ascii="Calibri" w:hAnsi="Calibri" w:cs="Calibri"/>
          <w:color w:val="222222"/>
          <w:shd w:val="clear" w:color="auto" w:fill="FFFFFF"/>
        </w:rPr>
        <w:t xml:space="preserve"> rate</w:t>
      </w:r>
      <w:r w:rsidR="00350A94" w:rsidRPr="00142DC0">
        <w:rPr>
          <w:rFonts w:ascii="Calibri" w:hAnsi="Calibri" w:cs="Calibri"/>
          <w:color w:val="222222"/>
          <w:shd w:val="clear" w:color="auto" w:fill="FFFFFF"/>
        </w:rPr>
        <w:noBreakHyphen/>
        <w:t>hike odds sharply higher, driving long</w:t>
      </w:r>
      <w:r w:rsidR="00350A94" w:rsidRPr="00142DC0">
        <w:rPr>
          <w:rFonts w:ascii="Calibri" w:hAnsi="Calibri" w:cs="Calibri"/>
          <w:color w:val="222222"/>
          <w:shd w:val="clear" w:color="auto" w:fill="FFFFFF"/>
        </w:rPr>
        <w:noBreakHyphen/>
        <w:t>term Treasury yields toward 5.5% and flattening curves across developed markets</w:t>
      </w:r>
      <w:r w:rsidR="004677E6" w:rsidRPr="00142DC0">
        <w:rPr>
          <w:rFonts w:ascii="Calibri" w:hAnsi="Calibri" w:cs="Calibri"/>
          <w:color w:val="222222"/>
          <w:shd w:val="clear" w:color="auto" w:fill="FFFFFF"/>
        </w:rPr>
        <w:t>—long-dated</w:t>
      </w:r>
      <w:r w:rsidR="00350A94" w:rsidRPr="00142DC0">
        <w:rPr>
          <w:rFonts w:ascii="Calibri" w:hAnsi="Calibri" w:cs="Calibri"/>
          <w:color w:val="222222"/>
          <w:shd w:val="clear" w:color="auto" w:fill="FFFFFF"/>
        </w:rPr>
        <w:t xml:space="preserve"> assets sold off as investors priced in stickier inflation and a slower path to policy easing</w:t>
      </w:r>
      <w:r w:rsidR="005D74F3" w:rsidRPr="00142DC0">
        <w:rPr>
          <w:rFonts w:ascii="Calibri" w:hAnsi="Calibri" w:cs="Calibri"/>
          <w:color w:val="222222"/>
          <w:shd w:val="clear" w:color="auto" w:fill="FFFFFF"/>
        </w:rPr>
        <w:t>.</w:t>
      </w:r>
      <w:r w:rsidR="00350A94" w:rsidRPr="00142DC0">
        <w:rPr>
          <w:rFonts w:ascii="Calibri" w:hAnsi="Calibri" w:cs="Calibri"/>
          <w:color w:val="222222"/>
          <w:shd w:val="clear" w:color="auto" w:fill="FFFFFF"/>
        </w:rPr>
        <w:t xml:space="preserve"> </w:t>
      </w:r>
      <w:r w:rsidR="005D74F3" w:rsidRPr="00142DC0">
        <w:rPr>
          <w:rFonts w:ascii="Calibri" w:hAnsi="Calibri" w:cs="Calibri"/>
          <w:color w:val="222222"/>
          <w:shd w:val="clear" w:color="auto" w:fill="FFFFFF"/>
        </w:rPr>
        <w:t xml:space="preserve">The </w:t>
      </w:r>
      <w:r w:rsidR="00630573" w:rsidRPr="00142DC0">
        <w:rPr>
          <w:rFonts w:ascii="Calibri" w:hAnsi="Calibri" w:cs="Calibri"/>
          <w:color w:val="222222"/>
          <w:shd w:val="clear" w:color="auto" w:fill="FFFFFF"/>
        </w:rPr>
        <w:t>major talking point was the announcement of U.S. Treasury buyback plans, which</w:t>
      </w:r>
      <w:r w:rsidR="00350A94" w:rsidRPr="00142DC0">
        <w:rPr>
          <w:rFonts w:ascii="Calibri" w:hAnsi="Calibri" w:cs="Calibri"/>
          <w:color w:val="222222"/>
          <w:shd w:val="clear" w:color="auto" w:fill="FFFFFF"/>
        </w:rPr>
        <w:t xml:space="preserve"> added </w:t>
      </w:r>
      <w:r w:rsidR="00F008D5" w:rsidRPr="00142DC0">
        <w:rPr>
          <w:rFonts w:ascii="Calibri" w:hAnsi="Calibri" w:cs="Calibri"/>
          <w:color w:val="222222"/>
          <w:shd w:val="clear" w:color="auto" w:fill="FFFFFF"/>
        </w:rPr>
        <w:t>volatility to the bond market; yields fell</w:t>
      </w:r>
      <w:r w:rsidR="00195D59" w:rsidRPr="00142DC0">
        <w:rPr>
          <w:rFonts w:ascii="Calibri" w:hAnsi="Calibri" w:cs="Calibri"/>
          <w:color w:val="222222"/>
          <w:shd w:val="clear" w:color="auto" w:fill="FFFFFF"/>
        </w:rPr>
        <w:t xml:space="preserve"> for 2 days before returning to new highs</w:t>
      </w:r>
      <w:r w:rsidR="00350A94" w:rsidRPr="00142DC0">
        <w:rPr>
          <w:rFonts w:ascii="Calibri" w:hAnsi="Calibri" w:cs="Calibri"/>
          <w:color w:val="222222"/>
          <w:shd w:val="clear" w:color="auto" w:fill="FFFFFF"/>
        </w:rPr>
        <w:t>. Credit spreads widened modestly, particularly in rate</w:t>
      </w:r>
      <w:r w:rsidR="00350A94" w:rsidRPr="00142DC0">
        <w:rPr>
          <w:rFonts w:ascii="Calibri" w:hAnsi="Calibri" w:cs="Calibri"/>
          <w:color w:val="222222"/>
          <w:shd w:val="clear" w:color="auto" w:fill="FFFFFF"/>
        </w:rPr>
        <w:noBreakHyphen/>
        <w:t>sensitive sectors, though balance</w:t>
      </w:r>
      <w:r w:rsidR="00350A94" w:rsidRPr="00142DC0">
        <w:rPr>
          <w:rFonts w:ascii="Calibri" w:hAnsi="Calibri" w:cs="Calibri"/>
          <w:color w:val="222222"/>
          <w:shd w:val="clear" w:color="auto" w:fill="FFFFFF"/>
        </w:rPr>
        <w:noBreakHyphen/>
        <w:t xml:space="preserve">sheet strength kept the move orderly. </w:t>
      </w:r>
      <w:r w:rsidR="00195D59" w:rsidRPr="00142DC0">
        <w:rPr>
          <w:rFonts w:ascii="Calibri" w:hAnsi="Calibri" w:cs="Calibri"/>
          <w:color w:val="222222"/>
          <w:shd w:val="clear" w:color="auto" w:fill="FFFFFF"/>
        </w:rPr>
        <w:t>In other markets</w:t>
      </w:r>
      <w:r w:rsidR="00350A94" w:rsidRPr="00142DC0">
        <w:rPr>
          <w:rFonts w:ascii="Calibri" w:hAnsi="Calibri" w:cs="Calibri"/>
          <w:color w:val="222222"/>
          <w:shd w:val="clear" w:color="auto" w:fill="FFFFFF"/>
        </w:rPr>
        <w:t xml:space="preserve">, Europe tracked U.S. yield moves, </w:t>
      </w:r>
      <w:r w:rsidR="00F008D5" w:rsidRPr="00142DC0">
        <w:rPr>
          <w:rFonts w:ascii="Calibri" w:hAnsi="Calibri" w:cs="Calibri"/>
          <w:color w:val="222222"/>
          <w:shd w:val="clear" w:color="auto" w:fill="FFFFFF"/>
        </w:rPr>
        <w:t>and Japan faced renewed pressure from stickier inflation,</w:t>
      </w:r>
      <w:r w:rsidR="00195D59" w:rsidRPr="00142DC0">
        <w:rPr>
          <w:rFonts w:ascii="Calibri" w:hAnsi="Calibri" w:cs="Calibri"/>
          <w:color w:val="222222"/>
          <w:shd w:val="clear" w:color="auto" w:fill="FFFFFF"/>
        </w:rPr>
        <w:t xml:space="preserve"> which will likely see another rate hike</w:t>
      </w:r>
      <w:r w:rsidR="00350A94" w:rsidRPr="00142DC0">
        <w:rPr>
          <w:rFonts w:ascii="Calibri" w:hAnsi="Calibri" w:cs="Calibri"/>
          <w:color w:val="222222"/>
          <w:shd w:val="clear" w:color="auto" w:fill="FFFFFF"/>
        </w:rPr>
        <w:t>.</w:t>
      </w:r>
    </w:p>
    <w:p w14:paraId="5E01C949" w14:textId="77777777" w:rsidR="000724C9" w:rsidRPr="00142DC0" w:rsidRDefault="000724C9" w:rsidP="007152C2">
      <w:pPr>
        <w:jc w:val="both"/>
        <w:rPr>
          <w:rFonts w:ascii="Calibri" w:hAnsi="Calibri" w:cs="Calibri"/>
          <w:color w:val="222222"/>
          <w:shd w:val="clear" w:color="auto" w:fill="FFFFFF"/>
        </w:rPr>
      </w:pPr>
    </w:p>
    <w:p w14:paraId="374F6898" w14:textId="7CFD4D6F" w:rsidR="00670AB6" w:rsidRPr="00142DC0" w:rsidRDefault="00221D7E" w:rsidP="007152C2">
      <w:pPr>
        <w:jc w:val="both"/>
        <w:rPr>
          <w:rFonts w:asciiTheme="majorHAnsi" w:hAnsiTheme="majorHAnsi" w:cstheme="majorHAnsi"/>
          <w:b/>
          <w:bCs/>
          <w:color w:val="222222"/>
          <w:shd w:val="clear" w:color="auto" w:fill="FFFFFF"/>
        </w:rPr>
      </w:pPr>
      <w:r w:rsidRPr="00142DC0">
        <w:rPr>
          <w:rFonts w:asciiTheme="majorHAnsi" w:hAnsiTheme="majorHAnsi" w:cstheme="majorHAnsi"/>
          <w:b/>
          <w:bCs/>
          <w:noProof/>
          <w:color w:val="222222"/>
          <w:shd w:val="clear" w:color="auto" w:fill="FFFFFF"/>
        </w:rPr>
        <w:drawing>
          <wp:inline distT="0" distB="0" distL="0" distR="0" wp14:anchorId="3917EFB6" wp14:editId="14A52E85">
            <wp:extent cx="5731510" cy="1113790"/>
            <wp:effectExtent l="0" t="0" r="2540" b="0"/>
            <wp:docPr id="210511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1670" name=""/>
                    <pic:cNvPicPr/>
                  </pic:nvPicPr>
                  <pic:blipFill>
                    <a:blip r:embed="rId11"/>
                    <a:stretch>
                      <a:fillRect/>
                    </a:stretch>
                  </pic:blipFill>
                  <pic:spPr>
                    <a:xfrm>
                      <a:off x="0" y="0"/>
                      <a:ext cx="5731510" cy="1113790"/>
                    </a:xfrm>
                    <a:prstGeom prst="rect">
                      <a:avLst/>
                    </a:prstGeom>
                  </pic:spPr>
                </pic:pic>
              </a:graphicData>
            </a:graphic>
          </wp:inline>
        </w:drawing>
      </w:r>
    </w:p>
    <w:p w14:paraId="246B1CF6" w14:textId="0D6B8A08" w:rsidR="00001072" w:rsidRPr="00142DC0" w:rsidRDefault="00B76A9F" w:rsidP="007152C2">
      <w:pPr>
        <w:jc w:val="both"/>
        <w:rPr>
          <w:rFonts w:cstheme="minorHAnsi"/>
          <w:b/>
          <w:bCs/>
          <w:color w:val="222222"/>
          <w:shd w:val="clear" w:color="auto" w:fill="FFFFFF"/>
        </w:rPr>
      </w:pPr>
      <w:r w:rsidRPr="00142DC0">
        <w:rPr>
          <w:rFonts w:cstheme="minorHAnsi"/>
          <w:b/>
          <w:bCs/>
          <w:color w:val="222222"/>
          <w:shd w:val="clear" w:color="auto" w:fill="FFFFFF"/>
        </w:rPr>
        <w:t xml:space="preserve">Global </w:t>
      </w:r>
      <w:r w:rsidR="00001072" w:rsidRPr="00142DC0">
        <w:rPr>
          <w:rFonts w:cstheme="minorHAnsi"/>
          <w:b/>
          <w:bCs/>
          <w:color w:val="222222"/>
          <w:shd w:val="clear" w:color="auto" w:fill="FFFFFF"/>
        </w:rPr>
        <w:t>Share Markets</w:t>
      </w:r>
    </w:p>
    <w:p w14:paraId="17F4D4C9" w14:textId="77777777" w:rsidR="00765E28" w:rsidRPr="00142DC0" w:rsidRDefault="0066466B" w:rsidP="006D38FA">
      <w:pPr>
        <w:jc w:val="both"/>
        <w:rPr>
          <w:rFonts w:ascii="Calibri" w:hAnsi="Calibri" w:cs="Calibri"/>
          <w:color w:val="222222"/>
          <w:shd w:val="clear" w:color="auto" w:fill="FFFFFF"/>
        </w:rPr>
      </w:pPr>
      <w:r w:rsidRPr="00142DC0">
        <w:rPr>
          <w:rFonts w:ascii="Calibri" w:hAnsi="Calibri" w:cs="Calibri"/>
          <w:color w:val="222222"/>
          <w:shd w:val="clear" w:color="auto" w:fill="FFFFFF"/>
        </w:rPr>
        <w:t xml:space="preserve">Global share markets were </w:t>
      </w:r>
      <w:r w:rsidR="00865FCA" w:rsidRPr="00142DC0">
        <w:rPr>
          <w:rFonts w:ascii="Calibri" w:hAnsi="Calibri" w:cs="Calibri"/>
          <w:color w:val="222222"/>
          <w:shd w:val="clear" w:color="auto" w:fill="FFFFFF"/>
        </w:rPr>
        <w:t>slightly up in August</w:t>
      </w:r>
      <w:r w:rsidR="001A326D" w:rsidRPr="00142DC0">
        <w:rPr>
          <w:rFonts w:ascii="Calibri" w:hAnsi="Calibri" w:cs="Calibri"/>
          <w:color w:val="222222"/>
          <w:shd w:val="clear" w:color="auto" w:fill="FFFFFF"/>
        </w:rPr>
        <w:t>,</w:t>
      </w:r>
      <w:r w:rsidR="00865FCA" w:rsidRPr="00142DC0">
        <w:rPr>
          <w:rFonts w:ascii="Calibri" w:hAnsi="Calibri" w:cs="Calibri"/>
          <w:color w:val="222222"/>
          <w:shd w:val="clear" w:color="auto" w:fill="FFFFFF"/>
        </w:rPr>
        <w:t xml:space="preserve"> </w:t>
      </w:r>
      <w:r w:rsidR="001A326D" w:rsidRPr="00142DC0">
        <w:rPr>
          <w:rFonts w:ascii="Calibri" w:hAnsi="Calibri" w:cs="Calibri"/>
          <w:color w:val="222222"/>
          <w:shd w:val="clear" w:color="auto" w:fill="FFFFFF"/>
        </w:rPr>
        <w:t xml:space="preserve">with the surprisingly strongest market being the ASX200! </w:t>
      </w:r>
      <w:r w:rsidR="00132F19" w:rsidRPr="00142DC0">
        <w:rPr>
          <w:rFonts w:ascii="Calibri" w:hAnsi="Calibri" w:cs="Calibri"/>
          <w:color w:val="222222"/>
          <w:shd w:val="clear" w:color="auto" w:fill="FFFFFF"/>
        </w:rPr>
        <w:t xml:space="preserve">The key driver was a decisive rebound in technology shares following Nvidia’s exceptional quarterly result, which reaffirmed the strength of the global AI investment cycle. Software outperformed hardware as investors rewarded companies </w:t>
      </w:r>
      <w:proofErr w:type="gramStart"/>
      <w:r w:rsidR="00213A2E" w:rsidRPr="00142DC0">
        <w:rPr>
          <w:rFonts w:ascii="Calibri" w:hAnsi="Calibri" w:cs="Calibri"/>
          <w:color w:val="222222"/>
          <w:shd w:val="clear" w:color="auto" w:fill="FFFFFF"/>
        </w:rPr>
        <w:t>actually earning</w:t>
      </w:r>
      <w:proofErr w:type="gramEnd"/>
      <w:r w:rsidR="00213A2E" w:rsidRPr="00142DC0">
        <w:rPr>
          <w:rFonts w:ascii="Calibri" w:hAnsi="Calibri" w:cs="Calibri"/>
          <w:color w:val="222222"/>
          <w:shd w:val="clear" w:color="auto" w:fill="FFFFFF"/>
        </w:rPr>
        <w:t xml:space="preserve"> profits from AI. </w:t>
      </w:r>
    </w:p>
    <w:p w14:paraId="128BC1E4" w14:textId="52D62596" w:rsidR="00F5776D" w:rsidRPr="00142DC0" w:rsidRDefault="006A2B5D" w:rsidP="006D38FA">
      <w:pPr>
        <w:jc w:val="both"/>
        <w:rPr>
          <w:rFonts w:ascii="Calibri" w:hAnsi="Calibri" w:cs="Calibri"/>
          <w:color w:val="222222"/>
          <w:shd w:val="clear" w:color="auto" w:fill="FFFFFF"/>
        </w:rPr>
      </w:pPr>
      <w:r w:rsidRPr="00142DC0">
        <w:rPr>
          <w:rFonts w:ascii="Calibri" w:hAnsi="Calibri" w:cs="Calibri"/>
          <w:color w:val="222222"/>
          <w:shd w:val="clear" w:color="auto" w:fill="FFFFFF"/>
        </w:rPr>
        <w:t xml:space="preserve">Gold surged </w:t>
      </w:r>
      <w:r w:rsidRPr="00142DC0">
        <w:rPr>
          <w:rFonts w:ascii="Calibri" w:hAnsi="Calibri" w:cs="Calibri"/>
          <w:color w:val="222222"/>
          <w:shd w:val="clear" w:color="auto" w:fill="FFFFFF"/>
        </w:rPr>
        <w:t>+</w:t>
      </w:r>
      <w:r w:rsidRPr="00142DC0">
        <w:rPr>
          <w:rFonts w:ascii="Calibri" w:hAnsi="Calibri" w:cs="Calibri"/>
          <w:color w:val="222222"/>
          <w:shd w:val="clear" w:color="auto" w:fill="FFFFFF"/>
        </w:rPr>
        <w:t xml:space="preserve">10%, silver </w:t>
      </w:r>
      <w:r w:rsidRPr="00142DC0">
        <w:rPr>
          <w:rFonts w:ascii="Calibri" w:hAnsi="Calibri" w:cs="Calibri"/>
          <w:color w:val="222222"/>
          <w:shd w:val="clear" w:color="auto" w:fill="FFFFFF"/>
        </w:rPr>
        <w:t>+</w:t>
      </w:r>
      <w:r w:rsidRPr="00142DC0">
        <w:rPr>
          <w:rFonts w:ascii="Calibri" w:hAnsi="Calibri" w:cs="Calibri"/>
          <w:color w:val="222222"/>
          <w:shd w:val="clear" w:color="auto" w:fill="FFFFFF"/>
        </w:rPr>
        <w:t>15%, and industrial metals strengthened amid concerns about fiscal sustainability and “dollar debasement.” Oil remained range</w:t>
      </w:r>
      <w:r w:rsidRPr="00142DC0">
        <w:rPr>
          <w:rFonts w:ascii="Calibri" w:hAnsi="Calibri" w:cs="Calibri"/>
          <w:color w:val="222222"/>
          <w:shd w:val="clear" w:color="auto" w:fill="FFFFFF"/>
        </w:rPr>
        <w:noBreakHyphen/>
        <w:t>bound near USD $90/</w:t>
      </w:r>
      <w:proofErr w:type="spellStart"/>
      <w:r w:rsidRPr="00142DC0">
        <w:rPr>
          <w:rFonts w:ascii="Calibri" w:hAnsi="Calibri" w:cs="Calibri"/>
          <w:color w:val="222222"/>
          <w:shd w:val="clear" w:color="auto" w:fill="FFFFFF"/>
        </w:rPr>
        <w:t>bbl</w:t>
      </w:r>
      <w:proofErr w:type="spellEnd"/>
      <w:r w:rsidRPr="00142DC0">
        <w:rPr>
          <w:rFonts w:ascii="Calibri" w:hAnsi="Calibri" w:cs="Calibri"/>
          <w:color w:val="222222"/>
          <w:shd w:val="clear" w:color="auto" w:fill="FFFFFF"/>
        </w:rPr>
        <w:t xml:space="preserve"> as US</w:t>
      </w:r>
      <w:r w:rsidRPr="00142DC0">
        <w:rPr>
          <w:rFonts w:ascii="Calibri" w:hAnsi="Calibri" w:cs="Calibri"/>
          <w:color w:val="222222"/>
          <w:shd w:val="clear" w:color="auto" w:fill="FFFFFF"/>
        </w:rPr>
        <w:t>/</w:t>
      </w:r>
      <w:r w:rsidRPr="00142DC0">
        <w:rPr>
          <w:rFonts w:ascii="Calibri" w:hAnsi="Calibri" w:cs="Calibri"/>
          <w:color w:val="222222"/>
          <w:shd w:val="clear" w:color="auto" w:fill="FFFFFF"/>
        </w:rPr>
        <w:t>Iran tensions eased slightly. Agricultural commodities</w:t>
      </w:r>
      <w:r w:rsidR="009A193C" w:rsidRPr="00142DC0">
        <w:rPr>
          <w:rFonts w:ascii="Calibri" w:hAnsi="Calibri" w:cs="Calibri"/>
          <w:color w:val="222222"/>
          <w:shd w:val="clear" w:color="auto" w:fill="FFFFFF"/>
        </w:rPr>
        <w:t xml:space="preserve"> continued to push upwards </w:t>
      </w:r>
      <w:r w:rsidRPr="00142DC0">
        <w:rPr>
          <w:rFonts w:ascii="Calibri" w:hAnsi="Calibri" w:cs="Calibri"/>
          <w:color w:val="222222"/>
          <w:shd w:val="clear" w:color="auto" w:fill="FFFFFF"/>
        </w:rPr>
        <w:t>on geopolitical risks and El Niño</w:t>
      </w:r>
      <w:r w:rsidRPr="00142DC0">
        <w:rPr>
          <w:rFonts w:ascii="Calibri" w:hAnsi="Calibri" w:cs="Calibri"/>
          <w:color w:val="222222"/>
          <w:shd w:val="clear" w:color="auto" w:fill="FFFFFF"/>
        </w:rPr>
        <w:noBreakHyphen/>
        <w:t>related supply concerns.</w:t>
      </w:r>
    </w:p>
    <w:p w14:paraId="3C8C3B9E" w14:textId="19712A42" w:rsidR="0020568E" w:rsidRPr="00142DC0" w:rsidRDefault="00914FED" w:rsidP="0020568E">
      <w:pPr>
        <w:jc w:val="both"/>
        <w:rPr>
          <w:rFonts w:ascii="Calibri" w:hAnsi="Calibri" w:cs="Calibri"/>
          <w:color w:val="222222"/>
          <w:shd w:val="clear" w:color="auto" w:fill="FFFFFF"/>
        </w:rPr>
      </w:pPr>
      <w:r w:rsidRPr="00142DC0">
        <w:rPr>
          <w:rFonts w:ascii="Calibri" w:hAnsi="Calibri" w:cs="Calibri"/>
          <w:color w:val="222222"/>
          <w:shd w:val="clear" w:color="auto" w:fill="FFFFFF"/>
        </w:rPr>
        <w:lastRenderedPageBreak/>
        <w:t>August performance showed</w:t>
      </w:r>
      <w:r w:rsidR="0020568E" w:rsidRPr="00142DC0">
        <w:rPr>
          <w:rFonts w:ascii="Calibri" w:hAnsi="Calibri" w:cs="Calibri"/>
          <w:color w:val="222222"/>
          <w:shd w:val="clear" w:color="auto" w:fill="FFFFFF"/>
        </w:rPr>
        <w:t xml:space="preserve"> wide </w:t>
      </w:r>
      <w:r w:rsidR="0020568E" w:rsidRPr="00142DC0">
        <w:rPr>
          <w:rFonts w:ascii="Calibri" w:hAnsi="Calibri" w:cs="Calibri"/>
          <w:color w:val="222222"/>
          <w:shd w:val="clear" w:color="auto" w:fill="FFFFFF"/>
        </w:rPr>
        <w:t>dispersion across global markets</w:t>
      </w:r>
      <w:r w:rsidR="0020568E" w:rsidRPr="00142DC0">
        <w:rPr>
          <w:rFonts w:ascii="Calibri" w:hAnsi="Calibri" w:cs="Calibri"/>
          <w:color w:val="222222"/>
          <w:shd w:val="clear" w:color="auto" w:fill="FFFFFF"/>
        </w:rPr>
        <w:t xml:space="preserve">. </w:t>
      </w:r>
      <w:r w:rsidRPr="00142DC0">
        <w:rPr>
          <w:rFonts w:ascii="Calibri" w:hAnsi="Calibri" w:cs="Calibri"/>
          <w:color w:val="222222"/>
          <w:shd w:val="clear" w:color="auto" w:fill="FFFFFF"/>
        </w:rPr>
        <w:t xml:space="preserve"> The strongest markets were </w:t>
      </w:r>
      <w:r w:rsidRPr="00142DC0">
        <w:rPr>
          <w:rFonts w:ascii="Calibri" w:hAnsi="Calibri" w:cs="Calibri"/>
          <w:color w:val="222222"/>
          <w:shd w:val="clear" w:color="auto" w:fill="FFFFFF"/>
        </w:rPr>
        <w:t>Taiwan, South Korea, the US, and Japan</w:t>
      </w:r>
      <w:r w:rsidRPr="00142DC0">
        <w:rPr>
          <w:rFonts w:ascii="Calibri" w:hAnsi="Calibri" w:cs="Calibri"/>
          <w:color w:val="222222"/>
          <w:shd w:val="clear" w:color="auto" w:fill="FFFFFF"/>
        </w:rPr>
        <w:t xml:space="preserve">, </w:t>
      </w:r>
      <w:r w:rsidRPr="00142DC0">
        <w:rPr>
          <w:rFonts w:ascii="Calibri" w:hAnsi="Calibri" w:cs="Calibri"/>
          <w:color w:val="222222"/>
          <w:shd w:val="clear" w:color="auto" w:fill="FFFFFF"/>
        </w:rPr>
        <w:t>each benefiting from semiconductor strength and renewed AI enthusiasm</w:t>
      </w:r>
      <w:r w:rsidRPr="00142DC0">
        <w:rPr>
          <w:rFonts w:ascii="Calibri" w:hAnsi="Calibri" w:cs="Calibri"/>
          <w:color w:val="222222"/>
          <w:shd w:val="clear" w:color="auto" w:fill="FFFFFF"/>
        </w:rPr>
        <w:t xml:space="preserve">. While Australia has minimal exposure to </w:t>
      </w:r>
      <w:r w:rsidR="00CB3AC2" w:rsidRPr="00142DC0">
        <w:rPr>
          <w:rFonts w:ascii="Calibri" w:hAnsi="Calibri" w:cs="Calibri"/>
          <w:color w:val="222222"/>
          <w:shd w:val="clear" w:color="auto" w:fill="FFFFFF"/>
        </w:rPr>
        <w:t xml:space="preserve">AI, the ASX 200 </w:t>
      </w:r>
      <w:r w:rsidR="004A0BBB" w:rsidRPr="00142DC0">
        <w:rPr>
          <w:rFonts w:ascii="Calibri" w:hAnsi="Calibri" w:cs="Calibri"/>
          <w:color w:val="222222"/>
          <w:shd w:val="clear" w:color="auto" w:fill="FFFFFF"/>
        </w:rPr>
        <w:t>benefited</w:t>
      </w:r>
      <w:r w:rsidR="00CB3AC2" w:rsidRPr="00142DC0">
        <w:rPr>
          <w:rFonts w:ascii="Calibri" w:hAnsi="Calibri" w:cs="Calibri"/>
          <w:color w:val="222222"/>
          <w:shd w:val="clear" w:color="auto" w:fill="FFFFFF"/>
        </w:rPr>
        <w:t xml:space="preserve"> from</w:t>
      </w:r>
      <w:r w:rsidR="004A0BBB" w:rsidRPr="00142DC0">
        <w:rPr>
          <w:rFonts w:ascii="Calibri" w:hAnsi="Calibri" w:cs="Calibri"/>
          <w:color w:val="222222"/>
          <w:shd w:val="clear" w:color="auto" w:fill="FFFFFF"/>
        </w:rPr>
        <w:t xml:space="preserve"> exposure to AI-adjacent commodities such as copper. </w:t>
      </w:r>
    </w:p>
    <w:p w14:paraId="7BD19F86" w14:textId="233DE1FE" w:rsidR="0020568E" w:rsidRPr="00142DC0" w:rsidRDefault="0020568E" w:rsidP="004A0BBB">
      <w:pPr>
        <w:jc w:val="both"/>
        <w:rPr>
          <w:rFonts w:ascii="Calibri" w:hAnsi="Calibri" w:cs="Calibri"/>
          <w:color w:val="222222"/>
          <w:shd w:val="clear" w:color="auto" w:fill="FFFFFF"/>
        </w:rPr>
      </w:pPr>
      <w:r w:rsidRPr="00142DC0">
        <w:rPr>
          <w:rFonts w:ascii="Calibri" w:hAnsi="Calibri" w:cs="Calibri"/>
          <w:color w:val="222222"/>
          <w:shd w:val="clear" w:color="auto" w:fill="FFFFFF"/>
        </w:rPr>
        <w:t>France was the worst</w:t>
      </w:r>
      <w:r w:rsidRPr="00142DC0">
        <w:rPr>
          <w:rFonts w:ascii="Calibri" w:hAnsi="Calibri" w:cs="Calibri"/>
          <w:color w:val="222222"/>
          <w:shd w:val="clear" w:color="auto" w:fill="FFFFFF"/>
        </w:rPr>
        <w:noBreakHyphen/>
        <w:t>performing major market, weighed down by rising bond yields and weakness in luxury goods. China continued to struggle with soft domestic demand and limited policy support, while UK equities declined as higher yields and a stronger sterling pressured energy and mining stocks.</w:t>
      </w:r>
    </w:p>
    <w:p w14:paraId="33E1DCAE" w14:textId="77777777" w:rsidR="0020568E" w:rsidRPr="00142DC0" w:rsidRDefault="0020568E" w:rsidP="0020568E">
      <w:pPr>
        <w:jc w:val="both"/>
        <w:rPr>
          <w:rFonts w:ascii="Calibri" w:hAnsi="Calibri" w:cs="Calibri"/>
          <w:color w:val="222222"/>
          <w:shd w:val="clear" w:color="auto" w:fill="FFFFFF"/>
        </w:rPr>
      </w:pPr>
      <w:r w:rsidRPr="00142DC0">
        <w:rPr>
          <w:rFonts w:ascii="Calibri" w:hAnsi="Calibri" w:cs="Calibri"/>
          <w:color w:val="222222"/>
          <w:shd w:val="clear" w:color="auto" w:fill="FFFFFF"/>
        </w:rPr>
        <w:t>Emerging markets outperformed developed markets, helped by a modestly weaker US dollar and firmer commodity prices.</w:t>
      </w:r>
    </w:p>
    <w:p w14:paraId="528FD475" w14:textId="371E71CB" w:rsidR="005E7D1C" w:rsidRPr="00142DC0" w:rsidRDefault="00E439DE" w:rsidP="00827803">
      <w:pPr>
        <w:spacing w:before="0" w:after="0"/>
        <w:jc w:val="center"/>
        <w:rPr>
          <w:rFonts w:asciiTheme="majorHAnsi" w:hAnsiTheme="majorHAnsi" w:cstheme="majorHAnsi"/>
          <w:color w:val="222222"/>
          <w:shd w:val="clear" w:color="auto" w:fill="FFFFFF"/>
        </w:rPr>
      </w:pPr>
      <w:r w:rsidRPr="00142DC0">
        <w:rPr>
          <w:rFonts w:asciiTheme="majorHAnsi" w:hAnsiTheme="majorHAnsi" w:cstheme="majorHAnsi"/>
          <w:noProof/>
          <w:color w:val="222222"/>
          <w:shd w:val="clear" w:color="auto" w:fill="FFFFFF"/>
        </w:rPr>
        <w:drawing>
          <wp:inline distT="0" distB="0" distL="0" distR="0" wp14:anchorId="26005AFB" wp14:editId="1B464149">
            <wp:extent cx="5731510" cy="1746250"/>
            <wp:effectExtent l="0" t="0" r="2540" b="6350"/>
            <wp:docPr id="2098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0096" name=""/>
                    <pic:cNvPicPr/>
                  </pic:nvPicPr>
                  <pic:blipFill>
                    <a:blip r:embed="rId12"/>
                    <a:stretch>
                      <a:fillRect/>
                    </a:stretch>
                  </pic:blipFill>
                  <pic:spPr>
                    <a:xfrm>
                      <a:off x="0" y="0"/>
                      <a:ext cx="5731510" cy="1746250"/>
                    </a:xfrm>
                    <a:prstGeom prst="rect">
                      <a:avLst/>
                    </a:prstGeom>
                  </pic:spPr>
                </pic:pic>
              </a:graphicData>
            </a:graphic>
          </wp:inline>
        </w:drawing>
      </w:r>
    </w:p>
    <w:p w14:paraId="4593F997" w14:textId="5BCCBCBF" w:rsidR="00D53B5B" w:rsidRPr="00142DC0" w:rsidRDefault="00193B6F" w:rsidP="00827803">
      <w:pPr>
        <w:spacing w:before="0" w:after="0"/>
        <w:jc w:val="center"/>
        <w:rPr>
          <w:rFonts w:asciiTheme="majorHAnsi" w:hAnsiTheme="majorHAnsi" w:cstheme="majorHAnsi"/>
          <w:color w:val="222222"/>
          <w:sz w:val="16"/>
          <w:szCs w:val="16"/>
          <w:shd w:val="clear" w:color="auto" w:fill="FFFFFF"/>
        </w:rPr>
      </w:pPr>
      <w:r w:rsidRPr="00142DC0">
        <w:rPr>
          <w:rFonts w:asciiTheme="majorHAnsi" w:hAnsiTheme="majorHAnsi" w:cstheme="majorHAnsi"/>
          <w:b/>
          <w:bCs/>
          <w:color w:val="222222"/>
          <w:sz w:val="16"/>
          <w:szCs w:val="16"/>
          <w:shd w:val="clear" w:color="auto" w:fill="FFFFFF"/>
        </w:rPr>
        <w:t>Data Source:</w:t>
      </w:r>
      <w:r w:rsidRPr="00142DC0">
        <w:rPr>
          <w:rFonts w:asciiTheme="majorHAnsi" w:hAnsiTheme="majorHAnsi" w:cstheme="majorHAnsi"/>
          <w:color w:val="222222"/>
          <w:sz w:val="16"/>
          <w:szCs w:val="16"/>
          <w:shd w:val="clear" w:color="auto" w:fill="FFFFFF"/>
        </w:rPr>
        <w:t xml:space="preserve"> </w:t>
      </w:r>
      <w:r w:rsidR="004B5E2E" w:rsidRPr="00142DC0">
        <w:rPr>
          <w:rFonts w:asciiTheme="majorHAnsi" w:hAnsiTheme="majorHAnsi" w:cstheme="majorHAnsi"/>
          <w:color w:val="222222"/>
          <w:sz w:val="16"/>
          <w:szCs w:val="16"/>
          <w:shd w:val="clear" w:color="auto" w:fill="FFFFFF"/>
        </w:rPr>
        <w:t>AFM</w:t>
      </w:r>
      <w:r w:rsidRPr="00142DC0">
        <w:rPr>
          <w:rFonts w:asciiTheme="majorHAnsi" w:hAnsiTheme="majorHAnsi" w:cstheme="majorHAnsi"/>
          <w:color w:val="222222"/>
          <w:sz w:val="16"/>
          <w:szCs w:val="16"/>
          <w:shd w:val="clear" w:color="auto" w:fill="FFFFFF"/>
        </w:rPr>
        <w:t xml:space="preserve"> as of </w:t>
      </w:r>
      <w:r w:rsidR="00E439DE" w:rsidRPr="00142DC0">
        <w:rPr>
          <w:rFonts w:asciiTheme="majorHAnsi" w:hAnsiTheme="majorHAnsi" w:cstheme="majorHAnsi"/>
          <w:color w:val="222222"/>
          <w:sz w:val="16"/>
          <w:szCs w:val="16"/>
          <w:shd w:val="clear" w:color="auto" w:fill="FFFFFF"/>
        </w:rPr>
        <w:t>August</w:t>
      </w:r>
      <w:r w:rsidR="000E3302" w:rsidRPr="00142DC0">
        <w:rPr>
          <w:rFonts w:asciiTheme="majorHAnsi" w:hAnsiTheme="majorHAnsi" w:cstheme="majorHAnsi"/>
          <w:color w:val="222222"/>
          <w:sz w:val="16"/>
          <w:szCs w:val="16"/>
          <w:shd w:val="clear" w:color="auto" w:fill="FFFFFF"/>
        </w:rPr>
        <w:t xml:space="preserve"> </w:t>
      </w:r>
      <w:r w:rsidR="00374ED0" w:rsidRPr="00142DC0">
        <w:rPr>
          <w:rFonts w:asciiTheme="majorHAnsi" w:hAnsiTheme="majorHAnsi" w:cstheme="majorHAnsi"/>
          <w:color w:val="222222"/>
          <w:sz w:val="16"/>
          <w:szCs w:val="16"/>
          <w:shd w:val="clear" w:color="auto" w:fill="FFFFFF"/>
        </w:rPr>
        <w:t>3</w:t>
      </w:r>
      <w:r w:rsidR="009D0907" w:rsidRPr="00142DC0">
        <w:rPr>
          <w:rFonts w:asciiTheme="majorHAnsi" w:hAnsiTheme="majorHAnsi" w:cstheme="majorHAnsi"/>
          <w:color w:val="222222"/>
          <w:sz w:val="16"/>
          <w:szCs w:val="16"/>
          <w:shd w:val="clear" w:color="auto" w:fill="FFFFFF"/>
        </w:rPr>
        <w:t>1</w:t>
      </w:r>
      <w:r w:rsidR="00374ED0" w:rsidRPr="00142DC0">
        <w:rPr>
          <w:rFonts w:asciiTheme="majorHAnsi" w:hAnsiTheme="majorHAnsi" w:cstheme="majorHAnsi"/>
          <w:color w:val="222222"/>
          <w:sz w:val="16"/>
          <w:szCs w:val="16"/>
          <w:shd w:val="clear" w:color="auto" w:fill="FFFFFF"/>
        </w:rPr>
        <w:t>,</w:t>
      </w:r>
      <w:r w:rsidRPr="00142DC0">
        <w:rPr>
          <w:rFonts w:asciiTheme="majorHAnsi" w:hAnsiTheme="majorHAnsi" w:cstheme="majorHAnsi"/>
          <w:color w:val="222222"/>
          <w:sz w:val="16"/>
          <w:szCs w:val="16"/>
          <w:shd w:val="clear" w:color="auto" w:fill="FFFFFF"/>
        </w:rPr>
        <w:t xml:space="preserve"> 202</w:t>
      </w:r>
      <w:r w:rsidR="00645798" w:rsidRPr="00142DC0">
        <w:rPr>
          <w:rFonts w:asciiTheme="majorHAnsi" w:hAnsiTheme="majorHAnsi" w:cstheme="majorHAnsi"/>
          <w:color w:val="222222"/>
          <w:sz w:val="16"/>
          <w:szCs w:val="16"/>
          <w:shd w:val="clear" w:color="auto" w:fill="FFFFFF"/>
        </w:rPr>
        <w:t>6</w:t>
      </w:r>
      <w:r w:rsidRPr="00142DC0">
        <w:rPr>
          <w:rFonts w:asciiTheme="majorHAnsi" w:hAnsiTheme="majorHAnsi" w:cstheme="majorHAnsi"/>
          <w:color w:val="222222"/>
          <w:sz w:val="16"/>
          <w:szCs w:val="16"/>
          <w:shd w:val="clear" w:color="auto" w:fill="FFFFFF"/>
        </w:rPr>
        <w:t>.</w:t>
      </w:r>
    </w:p>
    <w:p w14:paraId="759975DE" w14:textId="77777777" w:rsidR="00BB1727" w:rsidRPr="00142DC0" w:rsidRDefault="00BB1727" w:rsidP="007152C2">
      <w:pPr>
        <w:jc w:val="both"/>
        <w:rPr>
          <w:rFonts w:asciiTheme="majorHAnsi" w:hAnsiTheme="majorHAnsi" w:cstheme="majorHAnsi"/>
          <w:b/>
          <w:bCs/>
        </w:rPr>
      </w:pPr>
    </w:p>
    <w:p w14:paraId="41DB7890" w14:textId="57626A6B" w:rsidR="006729DD" w:rsidRPr="00142DC0" w:rsidRDefault="003B20F9" w:rsidP="007152C2">
      <w:pPr>
        <w:jc w:val="both"/>
        <w:rPr>
          <w:rFonts w:asciiTheme="majorHAnsi" w:hAnsiTheme="majorHAnsi" w:cstheme="majorHAnsi"/>
          <w:b/>
          <w:bCs/>
        </w:rPr>
      </w:pPr>
      <w:r w:rsidRPr="00142DC0">
        <w:rPr>
          <w:rFonts w:asciiTheme="majorHAnsi" w:hAnsiTheme="majorHAnsi" w:cstheme="majorHAnsi"/>
          <w:b/>
          <w:bCs/>
        </w:rPr>
        <w:t xml:space="preserve">Global </w:t>
      </w:r>
      <w:r w:rsidR="006729DD" w:rsidRPr="00142DC0">
        <w:rPr>
          <w:rFonts w:asciiTheme="majorHAnsi" w:hAnsiTheme="majorHAnsi" w:cstheme="majorHAnsi"/>
          <w:b/>
          <w:bCs/>
        </w:rPr>
        <w:t>Bond Markets</w:t>
      </w:r>
    </w:p>
    <w:p w14:paraId="7C6C3770" w14:textId="67FB5C60" w:rsidR="001A7119" w:rsidRPr="00142DC0" w:rsidRDefault="00C44B7E" w:rsidP="00656BEE">
      <w:pPr>
        <w:jc w:val="both"/>
        <w:rPr>
          <w:rFonts w:ascii="Calibri" w:hAnsi="Calibri" w:cs="Calibri"/>
          <w:color w:val="222222"/>
          <w:shd w:val="clear" w:color="auto" w:fill="FFFFFF"/>
        </w:rPr>
      </w:pPr>
      <w:r w:rsidRPr="00142DC0">
        <w:rPr>
          <w:rFonts w:ascii="Calibri" w:hAnsi="Calibri" w:cs="Calibri"/>
          <w:color w:val="222222"/>
          <w:shd w:val="clear" w:color="auto" w:fill="FFFFFF"/>
        </w:rPr>
        <w:t>Global bond markets weakened in August 2026, delivering a second consecutive month of rising yields as investors priced in persistent inflation and a higher</w:t>
      </w:r>
      <w:r w:rsidRPr="00142DC0">
        <w:rPr>
          <w:rFonts w:ascii="Calibri" w:hAnsi="Calibri" w:cs="Calibri"/>
          <w:color w:val="222222"/>
          <w:shd w:val="clear" w:color="auto" w:fill="FFFFFF"/>
        </w:rPr>
        <w:noBreakHyphen/>
        <w:t>for</w:t>
      </w:r>
      <w:r w:rsidRPr="00142DC0">
        <w:rPr>
          <w:rFonts w:ascii="Calibri" w:hAnsi="Calibri" w:cs="Calibri"/>
          <w:color w:val="222222"/>
          <w:shd w:val="clear" w:color="auto" w:fill="FFFFFF"/>
        </w:rPr>
        <w:noBreakHyphen/>
        <w:t>longer policy stance from major central banks. Sovereign yields rose across nearly all developed markets, while emerging</w:t>
      </w:r>
      <w:r w:rsidRPr="00142DC0">
        <w:rPr>
          <w:rFonts w:ascii="Calibri" w:hAnsi="Calibri" w:cs="Calibri"/>
          <w:color w:val="222222"/>
          <w:shd w:val="clear" w:color="auto" w:fill="FFFFFF"/>
        </w:rPr>
        <w:noBreakHyphen/>
        <w:t>market debt delivered positive returns thanks to currency strength and tighter spreads.</w:t>
      </w:r>
    </w:p>
    <w:p w14:paraId="73A8D33B" w14:textId="4F8F7025" w:rsidR="003B20F9" w:rsidRPr="00142DC0" w:rsidRDefault="003B20F9" w:rsidP="007152C2">
      <w:pPr>
        <w:jc w:val="both"/>
        <w:rPr>
          <w:rFonts w:ascii="Calibri" w:hAnsi="Calibri" w:cs="Calibri"/>
          <w:color w:val="222222"/>
          <w:shd w:val="clear" w:color="auto" w:fill="FFFFFF"/>
        </w:rPr>
      </w:pPr>
      <w:r w:rsidRPr="00142DC0">
        <w:rPr>
          <w:rFonts w:ascii="Calibri" w:hAnsi="Calibri" w:cs="Calibri"/>
          <w:color w:val="222222"/>
          <w:shd w:val="clear" w:color="auto" w:fill="FFFFFF"/>
        </w:rPr>
        <w:t xml:space="preserve">Interest </w:t>
      </w:r>
      <w:r w:rsidR="00391DC1" w:rsidRPr="00142DC0">
        <w:rPr>
          <w:rFonts w:ascii="Calibri" w:hAnsi="Calibri" w:cs="Calibri"/>
          <w:color w:val="222222"/>
          <w:shd w:val="clear" w:color="auto" w:fill="FFFFFF"/>
        </w:rPr>
        <w:t xml:space="preserve">rates were </w:t>
      </w:r>
      <w:r w:rsidR="00142DC0" w:rsidRPr="00142DC0">
        <w:rPr>
          <w:rFonts w:ascii="Calibri" w:hAnsi="Calibri" w:cs="Calibri"/>
          <w:color w:val="222222"/>
          <w:shd w:val="clear" w:color="auto" w:fill="FFFFFF"/>
        </w:rPr>
        <w:t xml:space="preserve">slightly </w:t>
      </w:r>
      <w:r w:rsidR="00391DC1" w:rsidRPr="00142DC0">
        <w:rPr>
          <w:rFonts w:ascii="Calibri" w:hAnsi="Calibri" w:cs="Calibri"/>
          <w:color w:val="222222"/>
          <w:shd w:val="clear" w:color="auto" w:fill="FFFFFF"/>
        </w:rPr>
        <w:t xml:space="preserve">higher in </w:t>
      </w:r>
      <w:r w:rsidR="00C44B7E" w:rsidRPr="00142DC0">
        <w:rPr>
          <w:rFonts w:ascii="Calibri" w:hAnsi="Calibri" w:cs="Calibri"/>
          <w:color w:val="222222"/>
          <w:shd w:val="clear" w:color="auto" w:fill="FFFFFF"/>
        </w:rPr>
        <w:t>August</w:t>
      </w:r>
      <w:r w:rsidR="00391DC1" w:rsidRPr="00142DC0">
        <w:rPr>
          <w:rFonts w:ascii="Calibri" w:hAnsi="Calibri" w:cs="Calibri"/>
          <w:color w:val="222222"/>
          <w:shd w:val="clear" w:color="auto" w:fill="FFFFFF"/>
        </w:rPr>
        <w:t>, with the US 10-year Government bond rate rising to 4.7</w:t>
      </w:r>
      <w:r w:rsidR="00C44B7E" w:rsidRPr="00142DC0">
        <w:rPr>
          <w:rFonts w:ascii="Calibri" w:hAnsi="Calibri" w:cs="Calibri"/>
          <w:color w:val="222222"/>
          <w:shd w:val="clear" w:color="auto" w:fill="FFFFFF"/>
        </w:rPr>
        <w:t>5</w:t>
      </w:r>
      <w:r w:rsidR="00391DC1" w:rsidRPr="00142DC0">
        <w:rPr>
          <w:rFonts w:ascii="Calibri" w:hAnsi="Calibri" w:cs="Calibri"/>
          <w:color w:val="222222"/>
          <w:shd w:val="clear" w:color="auto" w:fill="FFFFFF"/>
        </w:rPr>
        <w:t>% and the UK 10-year Gilt rising</w:t>
      </w:r>
      <w:r w:rsidR="0023582D" w:rsidRPr="00142DC0">
        <w:rPr>
          <w:rFonts w:ascii="Calibri" w:hAnsi="Calibri" w:cs="Calibri"/>
          <w:color w:val="222222"/>
          <w:shd w:val="clear" w:color="auto" w:fill="FFFFFF"/>
        </w:rPr>
        <w:t xml:space="preserve"> to</w:t>
      </w:r>
      <w:r w:rsidR="00364EC8" w:rsidRPr="00142DC0">
        <w:rPr>
          <w:rFonts w:ascii="Calibri" w:hAnsi="Calibri" w:cs="Calibri"/>
          <w:color w:val="222222"/>
          <w:shd w:val="clear" w:color="auto" w:fill="FFFFFF"/>
        </w:rPr>
        <w:t xml:space="preserve"> </w:t>
      </w:r>
      <w:r w:rsidR="00C35F9F" w:rsidRPr="00142DC0">
        <w:rPr>
          <w:rFonts w:ascii="Calibri" w:hAnsi="Calibri" w:cs="Calibri"/>
          <w:color w:val="222222"/>
          <w:shd w:val="clear" w:color="auto" w:fill="FFFFFF"/>
        </w:rPr>
        <w:t>5.</w:t>
      </w:r>
      <w:r w:rsidR="00142DC0" w:rsidRPr="00142DC0">
        <w:rPr>
          <w:rFonts w:ascii="Calibri" w:hAnsi="Calibri" w:cs="Calibri"/>
          <w:color w:val="222222"/>
          <w:shd w:val="clear" w:color="auto" w:fill="FFFFFF"/>
        </w:rPr>
        <w:t>06</w:t>
      </w:r>
      <w:r w:rsidR="00364EC8" w:rsidRPr="00142DC0">
        <w:rPr>
          <w:rFonts w:ascii="Calibri" w:hAnsi="Calibri" w:cs="Calibri"/>
          <w:color w:val="222222"/>
          <w:shd w:val="clear" w:color="auto" w:fill="FFFFFF"/>
        </w:rPr>
        <w:t xml:space="preserve">% </w:t>
      </w:r>
    </w:p>
    <w:p w14:paraId="56390823" w14:textId="2AD90A09" w:rsidR="00F67D7A" w:rsidRPr="00142DC0" w:rsidRDefault="00F67D7A" w:rsidP="007152C2">
      <w:pPr>
        <w:jc w:val="both"/>
        <w:rPr>
          <w:rFonts w:ascii="Calibri" w:hAnsi="Calibri" w:cs="Calibri"/>
          <w:b/>
          <w:bCs/>
          <w:color w:val="222222"/>
          <w:shd w:val="clear" w:color="auto" w:fill="FFFFFF"/>
        </w:rPr>
      </w:pPr>
      <w:r w:rsidRPr="00142DC0">
        <w:rPr>
          <w:rFonts w:ascii="Calibri" w:hAnsi="Calibri" w:cs="Calibri"/>
          <w:b/>
          <w:bCs/>
          <w:color w:val="222222"/>
          <w:shd w:val="clear" w:color="auto" w:fill="FFFFFF"/>
        </w:rPr>
        <w:t xml:space="preserve">Domestic </w:t>
      </w:r>
      <w:r w:rsidR="003B20F9" w:rsidRPr="00142DC0">
        <w:rPr>
          <w:rFonts w:ascii="Calibri" w:hAnsi="Calibri" w:cs="Calibri"/>
          <w:b/>
          <w:bCs/>
          <w:color w:val="222222"/>
          <w:shd w:val="clear" w:color="auto" w:fill="FFFFFF"/>
        </w:rPr>
        <w:t xml:space="preserve">Bond </w:t>
      </w:r>
      <w:r w:rsidRPr="00142DC0">
        <w:rPr>
          <w:rFonts w:ascii="Calibri" w:hAnsi="Calibri" w:cs="Calibri"/>
          <w:b/>
          <w:bCs/>
          <w:color w:val="222222"/>
          <w:shd w:val="clear" w:color="auto" w:fill="FFFFFF"/>
        </w:rPr>
        <w:t>Markets</w:t>
      </w:r>
    </w:p>
    <w:p w14:paraId="65263D97" w14:textId="7104EAC0" w:rsidR="00A70BC4" w:rsidRPr="00C22026" w:rsidRDefault="00C22026" w:rsidP="007152C2">
      <w:pPr>
        <w:jc w:val="both"/>
        <w:rPr>
          <w:rFonts w:ascii="Calibri" w:hAnsi="Calibri" w:cs="Calibri"/>
          <w:color w:val="222222"/>
          <w:shd w:val="clear" w:color="auto" w:fill="FFFFFF"/>
        </w:rPr>
      </w:pPr>
      <w:r w:rsidRPr="00C22026">
        <w:rPr>
          <w:rFonts w:ascii="Calibri" w:hAnsi="Calibri" w:cs="Calibri"/>
          <w:color w:val="222222"/>
          <w:shd w:val="clear" w:color="auto" w:fill="FFFFFF"/>
        </w:rPr>
        <w:t>Australian bond markets weakened through August as yields drifted higher across the curve, reflecting a combination of global rates repricing, persistent domestic inflation pressures and a clearly hawkish tone from the Reserve Bank of Australia. The move was broad</w:t>
      </w:r>
      <w:r w:rsidRPr="00C22026">
        <w:rPr>
          <w:rFonts w:ascii="Calibri" w:hAnsi="Calibri" w:cs="Calibri"/>
          <w:color w:val="222222"/>
          <w:shd w:val="clear" w:color="auto" w:fill="FFFFFF"/>
        </w:rPr>
        <w:noBreakHyphen/>
        <w:t>based, with a parallel shift of 6–12 basis points pushing the 10</w:t>
      </w:r>
      <w:r w:rsidRPr="00C22026">
        <w:rPr>
          <w:rFonts w:ascii="Calibri" w:hAnsi="Calibri" w:cs="Calibri"/>
          <w:color w:val="222222"/>
          <w:shd w:val="clear" w:color="auto" w:fill="FFFFFF"/>
        </w:rPr>
        <w:noBreakHyphen/>
        <w:t xml:space="preserve">year Commonwealth yield above 5.10%, a fresh cycle high and a level not seen since 2011. </w:t>
      </w:r>
      <w:r w:rsidR="00247C5A">
        <w:rPr>
          <w:rFonts w:ascii="Calibri" w:hAnsi="Calibri" w:cs="Calibri"/>
          <w:color w:val="222222"/>
          <w:shd w:val="clear" w:color="auto" w:fill="FFFFFF"/>
        </w:rPr>
        <w:t xml:space="preserve"> </w:t>
      </w:r>
      <w:r w:rsidR="00247C5A" w:rsidRPr="00247C5A">
        <w:rPr>
          <w:rFonts w:ascii="Calibri" w:hAnsi="Calibri" w:cs="Calibri"/>
          <w:color w:val="222222"/>
          <w:shd w:val="clear" w:color="auto" w:fill="FFFFFF"/>
        </w:rPr>
        <w:t xml:space="preserve">The RBA kept the cash rate unchanged at 4.35%, but </w:t>
      </w:r>
      <w:r w:rsidR="00247C5A">
        <w:rPr>
          <w:rFonts w:ascii="Calibri" w:hAnsi="Calibri" w:cs="Calibri"/>
          <w:color w:val="222222"/>
          <w:shd w:val="clear" w:color="auto" w:fill="FFFFFF"/>
        </w:rPr>
        <w:t xml:space="preserve">the RBA </w:t>
      </w:r>
      <w:r w:rsidR="00247C5A" w:rsidRPr="00247C5A">
        <w:rPr>
          <w:rFonts w:ascii="Calibri" w:hAnsi="Calibri" w:cs="Calibri"/>
          <w:color w:val="222222"/>
          <w:shd w:val="clear" w:color="auto" w:fill="FFFFFF"/>
        </w:rPr>
        <w:t>continued to emphasise that inflation progress had stalled and that further tightening remained possible.</w:t>
      </w:r>
      <w:r w:rsidR="00BC004E">
        <w:rPr>
          <w:rFonts w:ascii="Calibri" w:hAnsi="Calibri" w:cs="Calibri"/>
          <w:color w:val="222222"/>
          <w:shd w:val="clear" w:color="auto" w:fill="FFFFFF"/>
        </w:rPr>
        <w:t xml:space="preserve"> </w:t>
      </w:r>
      <w:r w:rsidR="00BC004E" w:rsidRPr="00BC004E">
        <w:rPr>
          <w:rFonts w:ascii="Calibri" w:hAnsi="Calibri" w:cs="Calibri"/>
          <w:color w:val="222222"/>
          <w:shd w:val="clear" w:color="auto" w:fill="FFFFFF"/>
        </w:rPr>
        <w:t>The</w:t>
      </w:r>
      <w:r w:rsidR="00BC004E">
        <w:rPr>
          <w:rFonts w:ascii="Calibri" w:hAnsi="Calibri" w:cs="Calibri"/>
          <w:color w:val="222222"/>
          <w:shd w:val="clear" w:color="auto" w:fill="FFFFFF"/>
        </w:rPr>
        <w:t xml:space="preserve"> RBA</w:t>
      </w:r>
      <w:r w:rsidR="00BC004E" w:rsidRPr="00BC004E">
        <w:rPr>
          <w:rFonts w:ascii="Calibri" w:hAnsi="Calibri" w:cs="Calibri"/>
          <w:color w:val="222222"/>
          <w:shd w:val="clear" w:color="auto" w:fill="FFFFFF"/>
        </w:rPr>
        <w:t xml:space="preserve"> highlighted upside risks stemming from elevated energy prices</w:t>
      </w:r>
      <w:r w:rsidR="00BC004E">
        <w:rPr>
          <w:rFonts w:ascii="Calibri" w:hAnsi="Calibri" w:cs="Calibri"/>
          <w:color w:val="222222"/>
          <w:shd w:val="clear" w:color="auto" w:fill="FFFFFF"/>
        </w:rPr>
        <w:t xml:space="preserve"> </w:t>
      </w:r>
      <w:r w:rsidR="00BC004E" w:rsidRPr="00BC004E">
        <w:rPr>
          <w:rFonts w:ascii="Calibri" w:hAnsi="Calibri" w:cs="Calibri"/>
          <w:color w:val="222222"/>
          <w:shd w:val="clear" w:color="auto" w:fill="FFFFFF"/>
        </w:rPr>
        <w:t>and weak domestic productivity growth.</w:t>
      </w:r>
    </w:p>
    <w:p w14:paraId="660A4041" w14:textId="77777777" w:rsidR="00A70BC4" w:rsidRDefault="00A70BC4" w:rsidP="007152C2">
      <w:pPr>
        <w:jc w:val="both"/>
        <w:rPr>
          <w:rFonts w:ascii="Calibri" w:hAnsi="Calibri" w:cs="Calibri"/>
          <w:color w:val="222222"/>
          <w:shd w:val="clear" w:color="auto" w:fill="FFFFFF"/>
        </w:rPr>
      </w:pPr>
    </w:p>
    <w:p w14:paraId="3EC98F21" w14:textId="77777777" w:rsidR="00A70BC4" w:rsidRPr="00142DC0" w:rsidRDefault="00A70BC4" w:rsidP="007152C2">
      <w:pPr>
        <w:jc w:val="both"/>
        <w:rPr>
          <w:rFonts w:ascii="Calibri" w:hAnsi="Calibri" w:cs="Calibri"/>
          <w:color w:val="222222"/>
          <w:shd w:val="clear" w:color="auto" w:fill="FFFFFF"/>
        </w:rPr>
      </w:pPr>
    </w:p>
    <w:p w14:paraId="68131F76" w14:textId="696D8076" w:rsidR="00D72B03" w:rsidRPr="00142DC0" w:rsidRDefault="007B7DEB" w:rsidP="007152C2">
      <w:pPr>
        <w:jc w:val="both"/>
        <w:rPr>
          <w:rFonts w:ascii="Calibri" w:hAnsi="Calibri" w:cs="Calibri"/>
          <w:b/>
          <w:bCs/>
        </w:rPr>
      </w:pPr>
      <w:r w:rsidRPr="00142DC0">
        <w:rPr>
          <w:rFonts w:ascii="Calibri" w:hAnsi="Calibri" w:cs="Calibri"/>
          <w:b/>
          <w:bCs/>
        </w:rPr>
        <w:t>Investment</w:t>
      </w:r>
      <w:r w:rsidR="00D72B03" w:rsidRPr="00142DC0">
        <w:rPr>
          <w:rFonts w:ascii="Calibri" w:hAnsi="Calibri" w:cs="Calibri"/>
          <w:b/>
          <w:bCs/>
        </w:rPr>
        <w:t xml:space="preserve"> Climate</w:t>
      </w:r>
    </w:p>
    <w:p w14:paraId="7685FC1C" w14:textId="7296CD31" w:rsidR="00112AC6" w:rsidRPr="00142DC0" w:rsidRDefault="00112AC6" w:rsidP="00B24C6B">
      <w:pPr>
        <w:jc w:val="both"/>
        <w:rPr>
          <w:rFonts w:ascii="Calibri" w:hAnsi="Calibri" w:cs="Calibri"/>
        </w:rPr>
      </w:pPr>
      <w:r w:rsidRPr="00142DC0">
        <w:rPr>
          <w:rFonts w:ascii="Calibri" w:hAnsi="Calibri" w:cs="Calibri"/>
        </w:rPr>
        <w:t>The U.S. investment climate in August sat in a tense balance between strong fundamentals and rising macro risks. Corporate earnings were resilient</w:t>
      </w:r>
      <w:r w:rsidR="000E29B2" w:rsidRPr="00142DC0">
        <w:rPr>
          <w:rFonts w:ascii="Calibri" w:hAnsi="Calibri" w:cs="Calibri"/>
        </w:rPr>
        <w:t>, with second-quarter earnings growth exceeding expectations,</w:t>
      </w:r>
      <w:r w:rsidR="00026C58" w:rsidRPr="00142DC0">
        <w:rPr>
          <w:rFonts w:ascii="Calibri" w:hAnsi="Calibri" w:cs="Calibri"/>
        </w:rPr>
        <w:t xml:space="preserve"> </w:t>
      </w:r>
      <w:r w:rsidRPr="00142DC0">
        <w:rPr>
          <w:rFonts w:ascii="Calibri" w:hAnsi="Calibri" w:cs="Calibri"/>
        </w:rPr>
        <w:t>and AI</w:t>
      </w:r>
      <w:r w:rsidRPr="00142DC0">
        <w:rPr>
          <w:rFonts w:ascii="Calibri" w:hAnsi="Calibri" w:cs="Calibri"/>
        </w:rPr>
        <w:noBreakHyphen/>
        <w:t xml:space="preserve">related capital investment continued to </w:t>
      </w:r>
      <w:r w:rsidR="00391DC1" w:rsidRPr="00142DC0">
        <w:rPr>
          <w:rFonts w:ascii="Calibri" w:hAnsi="Calibri" w:cs="Calibri"/>
        </w:rPr>
        <w:t>drive the economy</w:t>
      </w:r>
      <w:r w:rsidRPr="00142DC0">
        <w:rPr>
          <w:rFonts w:ascii="Calibri" w:hAnsi="Calibri" w:cs="Calibri"/>
        </w:rPr>
        <w:t>. The broader economy remained solid, supported by healthy consumer spending and robust business investment tied to the ongoing AI build</w:t>
      </w:r>
      <w:r w:rsidRPr="00142DC0">
        <w:rPr>
          <w:rFonts w:ascii="Calibri" w:hAnsi="Calibri" w:cs="Calibri"/>
        </w:rPr>
        <w:noBreakHyphen/>
        <w:t>out. Yet this strength was offset by a more fragile policy and geopolitical backdrop: inflation stayed above the Fed’s target, long</w:t>
      </w:r>
      <w:r w:rsidRPr="00142DC0">
        <w:rPr>
          <w:rFonts w:ascii="Calibri" w:hAnsi="Calibri" w:cs="Calibri"/>
        </w:rPr>
        <w:noBreakHyphen/>
        <w:t xml:space="preserve">term Treasury yields climbed toward </w:t>
      </w:r>
      <w:r w:rsidR="00026C58" w:rsidRPr="00142DC0">
        <w:rPr>
          <w:rFonts w:ascii="Calibri" w:hAnsi="Calibri" w:cs="Calibri"/>
        </w:rPr>
        <w:t>5</w:t>
      </w:r>
      <w:r w:rsidR="00473757" w:rsidRPr="00142DC0">
        <w:rPr>
          <w:rFonts w:ascii="Calibri" w:hAnsi="Calibri" w:cs="Calibri"/>
        </w:rPr>
        <w:t>.5</w:t>
      </w:r>
      <w:r w:rsidR="00026C58" w:rsidRPr="00142DC0">
        <w:rPr>
          <w:rFonts w:ascii="Calibri" w:hAnsi="Calibri" w:cs="Calibri"/>
        </w:rPr>
        <w:t>%,</w:t>
      </w:r>
      <w:r w:rsidR="00026C58" w:rsidRPr="00142DC0">
        <w:rPr>
          <w:rFonts w:ascii="Calibri" w:hAnsi="Calibri" w:cs="Calibri"/>
          <w:b/>
          <w:bCs/>
        </w:rPr>
        <w:t xml:space="preserve"> </w:t>
      </w:r>
      <w:r w:rsidRPr="00142DC0">
        <w:rPr>
          <w:rFonts w:ascii="Calibri" w:hAnsi="Calibri" w:cs="Calibri"/>
        </w:rPr>
        <w:t xml:space="preserve">and Fed Chair Warsh’s hawkish Jackson Hole remarks pushed markets to price in a higher probability of a September rate hike. </w:t>
      </w:r>
      <w:r w:rsidR="000E29B2" w:rsidRPr="00142DC0">
        <w:rPr>
          <w:rFonts w:ascii="Calibri" w:hAnsi="Calibri" w:cs="Calibri"/>
        </w:rPr>
        <w:t>Overall, August felt like a resilient market environment</w:t>
      </w:r>
      <w:r w:rsidR="00F87E71" w:rsidRPr="00142DC0">
        <w:rPr>
          <w:rFonts w:ascii="Calibri" w:hAnsi="Calibri" w:cs="Calibri"/>
        </w:rPr>
        <w:t xml:space="preserve"> </w:t>
      </w:r>
      <w:r w:rsidR="000E29B2" w:rsidRPr="00142DC0">
        <w:rPr>
          <w:rFonts w:ascii="Calibri" w:hAnsi="Calibri" w:cs="Calibri"/>
        </w:rPr>
        <w:t xml:space="preserve">supported by earnings and AI momentum, while </w:t>
      </w:r>
      <w:r w:rsidR="00391DC1" w:rsidRPr="00142DC0">
        <w:rPr>
          <w:rFonts w:ascii="Calibri" w:hAnsi="Calibri" w:cs="Calibri"/>
        </w:rPr>
        <w:t>rate</w:t>
      </w:r>
      <w:r w:rsidR="000E29B2" w:rsidRPr="00142DC0">
        <w:rPr>
          <w:rFonts w:ascii="Calibri" w:hAnsi="Calibri" w:cs="Calibri"/>
        </w:rPr>
        <w:t xml:space="preserve"> volatility, elevated valuations, and policy uncertainty limited risk appetite. </w:t>
      </w:r>
    </w:p>
    <w:p w14:paraId="63B9D1C4" w14:textId="24334FDE" w:rsidR="00B24C6B" w:rsidRPr="00142DC0" w:rsidRDefault="00324C90" w:rsidP="007152C2">
      <w:pPr>
        <w:spacing w:before="120" w:after="120"/>
        <w:jc w:val="both"/>
        <w:rPr>
          <w:rFonts w:ascii="Calibri" w:hAnsi="Calibri" w:cs="Calibri"/>
        </w:rPr>
      </w:pPr>
      <w:r w:rsidRPr="00142DC0">
        <w:rPr>
          <w:rFonts w:ascii="Calibri" w:hAnsi="Calibri" w:cs="Calibri"/>
          <w:b/>
          <w:bCs/>
        </w:rPr>
        <w:t>Over the medium</w:t>
      </w:r>
      <w:r w:rsidR="00682D89" w:rsidRPr="00142DC0">
        <w:rPr>
          <w:rFonts w:ascii="Calibri" w:hAnsi="Calibri" w:cs="Calibri"/>
          <w:b/>
          <w:bCs/>
        </w:rPr>
        <w:t xml:space="preserve"> term,</w:t>
      </w:r>
      <w:r w:rsidR="00682D89" w:rsidRPr="00142DC0">
        <w:rPr>
          <w:rFonts w:ascii="Calibri" w:hAnsi="Calibri" w:cs="Calibri"/>
        </w:rPr>
        <w:t xml:space="preserve"> investors are encouraged by the anticipated productivity benefits from AI and the </w:t>
      </w:r>
      <w:proofErr w:type="spellStart"/>
      <w:r w:rsidR="00682D89" w:rsidRPr="00142DC0">
        <w:rPr>
          <w:rFonts w:ascii="Calibri" w:hAnsi="Calibri" w:cs="Calibri"/>
        </w:rPr>
        <w:t>hyperscalers</w:t>
      </w:r>
      <w:proofErr w:type="spellEnd"/>
      <w:r w:rsidR="00682D89" w:rsidRPr="00142DC0">
        <w:rPr>
          <w:rFonts w:ascii="Calibri" w:hAnsi="Calibri" w:cs="Calibri"/>
        </w:rPr>
        <w:t>' investments in AI</w:t>
      </w:r>
      <w:r w:rsidR="003839DD" w:rsidRPr="00142DC0">
        <w:rPr>
          <w:rFonts w:ascii="Calibri" w:hAnsi="Calibri" w:cs="Calibri"/>
        </w:rPr>
        <w:t>.</w:t>
      </w:r>
      <w:r w:rsidR="004B71B4" w:rsidRPr="00142DC0">
        <w:rPr>
          <w:rFonts w:ascii="Calibri" w:hAnsi="Calibri" w:cs="Calibri"/>
        </w:rPr>
        <w:t xml:space="preserve"> </w:t>
      </w:r>
      <w:r w:rsidR="00795532" w:rsidRPr="00142DC0">
        <w:rPr>
          <w:rFonts w:ascii="Calibri" w:hAnsi="Calibri" w:cs="Calibri"/>
        </w:rPr>
        <w:t>However,</w:t>
      </w:r>
      <w:r w:rsidR="00F14ABC" w:rsidRPr="00142DC0">
        <w:rPr>
          <w:rFonts w:ascii="Calibri" w:hAnsi="Calibri" w:cs="Calibri"/>
        </w:rPr>
        <w:t xml:space="preserve"> </w:t>
      </w:r>
      <w:r w:rsidR="00391DC1" w:rsidRPr="00142DC0">
        <w:rPr>
          <w:rFonts w:ascii="Calibri" w:hAnsi="Calibri" w:cs="Calibri"/>
        </w:rPr>
        <w:t>the unsettled nature of the bond markets due to the war in Iran has put the handbrake on short-term</w:t>
      </w:r>
      <w:r w:rsidR="000F2A98" w:rsidRPr="00142DC0">
        <w:rPr>
          <w:rFonts w:ascii="Calibri" w:hAnsi="Calibri" w:cs="Calibri"/>
        </w:rPr>
        <w:t xml:space="preserve"> </w:t>
      </w:r>
      <w:r w:rsidR="00795532" w:rsidRPr="00142DC0">
        <w:rPr>
          <w:rFonts w:ascii="Calibri" w:hAnsi="Calibri" w:cs="Calibri"/>
        </w:rPr>
        <w:t>encouragement</w:t>
      </w:r>
      <w:r w:rsidR="000F2A98" w:rsidRPr="00142DC0">
        <w:rPr>
          <w:rFonts w:ascii="Calibri" w:hAnsi="Calibri" w:cs="Calibri"/>
        </w:rPr>
        <w:t>.</w:t>
      </w:r>
      <w:r w:rsidR="00FA047F" w:rsidRPr="00142DC0">
        <w:rPr>
          <w:rFonts w:ascii="Calibri" w:hAnsi="Calibri" w:cs="Calibri"/>
        </w:rPr>
        <w:t xml:space="preserve"> If the US </w:t>
      </w:r>
      <w:r w:rsidR="00227A9E" w:rsidRPr="00142DC0">
        <w:rPr>
          <w:rFonts w:ascii="Calibri" w:hAnsi="Calibri" w:cs="Calibri"/>
        </w:rPr>
        <w:t xml:space="preserve">changes its tone and begins </w:t>
      </w:r>
      <w:r w:rsidR="00682D89" w:rsidRPr="00142DC0">
        <w:rPr>
          <w:rFonts w:ascii="Calibri" w:hAnsi="Calibri" w:cs="Calibri"/>
        </w:rPr>
        <w:t xml:space="preserve">raising interest rates under its new Federal </w:t>
      </w:r>
      <w:r w:rsidR="00391DC1" w:rsidRPr="00142DC0">
        <w:rPr>
          <w:rFonts w:ascii="Calibri" w:hAnsi="Calibri" w:cs="Calibri"/>
        </w:rPr>
        <w:t xml:space="preserve">Reserve </w:t>
      </w:r>
      <w:r w:rsidR="00682D89" w:rsidRPr="00142DC0">
        <w:rPr>
          <w:rFonts w:ascii="Calibri" w:hAnsi="Calibri" w:cs="Calibri"/>
        </w:rPr>
        <w:t>Chairman, Kevin Warsh, the medium term could</w:t>
      </w:r>
      <w:r w:rsidR="005B1C49" w:rsidRPr="00142DC0">
        <w:rPr>
          <w:rFonts w:ascii="Calibri" w:hAnsi="Calibri" w:cs="Calibri"/>
        </w:rPr>
        <w:t xml:space="preserve"> become </w:t>
      </w:r>
      <w:r w:rsidR="00885A88" w:rsidRPr="00142DC0">
        <w:rPr>
          <w:rFonts w:ascii="Calibri" w:hAnsi="Calibri" w:cs="Calibri"/>
        </w:rPr>
        <w:t xml:space="preserve">much </w:t>
      </w:r>
      <w:r w:rsidR="005D742C" w:rsidRPr="00142DC0">
        <w:rPr>
          <w:rFonts w:ascii="Calibri" w:hAnsi="Calibri" w:cs="Calibri"/>
        </w:rPr>
        <w:t>less encouraging.</w:t>
      </w:r>
    </w:p>
    <w:p w14:paraId="024D1376" w14:textId="3B8E92F6" w:rsidR="00524F93" w:rsidRPr="00142DC0" w:rsidRDefault="00524F93" w:rsidP="007152C2">
      <w:pPr>
        <w:jc w:val="both"/>
        <w:rPr>
          <w:rFonts w:ascii="Calibri" w:hAnsi="Calibri" w:cs="Calibri"/>
        </w:rPr>
      </w:pPr>
      <w:r w:rsidRPr="00142DC0">
        <w:rPr>
          <w:rFonts w:ascii="Calibri" w:hAnsi="Calibri" w:cs="Calibri"/>
          <w:b/>
          <w:bCs/>
        </w:rPr>
        <w:t>Long</w:t>
      </w:r>
      <w:r w:rsidR="00805A87" w:rsidRPr="00142DC0">
        <w:rPr>
          <w:rFonts w:ascii="Calibri" w:hAnsi="Calibri" w:cs="Calibri"/>
          <w:b/>
          <w:bCs/>
        </w:rPr>
        <w:t>-</w:t>
      </w:r>
      <w:r w:rsidRPr="00142DC0">
        <w:rPr>
          <w:rFonts w:ascii="Calibri" w:hAnsi="Calibri" w:cs="Calibri"/>
          <w:b/>
          <w:bCs/>
        </w:rPr>
        <w:t xml:space="preserve">term </w:t>
      </w:r>
      <w:r w:rsidR="0089672B" w:rsidRPr="00142DC0">
        <w:rPr>
          <w:rFonts w:ascii="Calibri" w:hAnsi="Calibri" w:cs="Calibri"/>
          <w:b/>
          <w:bCs/>
        </w:rPr>
        <w:t>investors</w:t>
      </w:r>
      <w:r w:rsidRPr="00142DC0">
        <w:rPr>
          <w:rFonts w:ascii="Calibri" w:hAnsi="Calibri" w:cs="Calibri"/>
          <w:b/>
          <w:bCs/>
        </w:rPr>
        <w:t xml:space="preserve"> </w:t>
      </w:r>
      <w:r w:rsidR="007C64CC" w:rsidRPr="00142DC0">
        <w:rPr>
          <w:rFonts w:ascii="Calibri" w:hAnsi="Calibri" w:cs="Calibri"/>
          <w:b/>
          <w:bCs/>
        </w:rPr>
        <w:t xml:space="preserve">are </w:t>
      </w:r>
      <w:r w:rsidR="00B232A3" w:rsidRPr="00142DC0">
        <w:rPr>
          <w:rFonts w:ascii="Calibri" w:hAnsi="Calibri" w:cs="Calibri"/>
          <w:b/>
          <w:bCs/>
        </w:rPr>
        <w:t>cautiously optimistic</w:t>
      </w:r>
      <w:r w:rsidRPr="00142DC0">
        <w:rPr>
          <w:rFonts w:ascii="Calibri" w:hAnsi="Calibri" w:cs="Calibri"/>
        </w:rPr>
        <w:t xml:space="preserve"> </w:t>
      </w:r>
      <w:r w:rsidR="00805A87" w:rsidRPr="00142DC0">
        <w:rPr>
          <w:rFonts w:ascii="Calibri" w:hAnsi="Calibri" w:cs="Calibri"/>
        </w:rPr>
        <w:t>about</w:t>
      </w:r>
      <w:r w:rsidRPr="00142DC0">
        <w:rPr>
          <w:rFonts w:ascii="Calibri" w:hAnsi="Calibri" w:cs="Calibri"/>
        </w:rPr>
        <w:t xml:space="preserve"> a </w:t>
      </w:r>
      <w:r w:rsidR="005D2FDE" w:rsidRPr="00142DC0">
        <w:rPr>
          <w:rFonts w:ascii="Calibri" w:hAnsi="Calibri" w:cs="Calibri"/>
        </w:rPr>
        <w:t xml:space="preserve">recovery </w:t>
      </w:r>
      <w:r w:rsidRPr="00142DC0">
        <w:rPr>
          <w:rFonts w:ascii="Calibri" w:hAnsi="Calibri" w:cs="Calibri"/>
        </w:rPr>
        <w:t xml:space="preserve">period ahead. Global </w:t>
      </w:r>
      <w:r w:rsidR="00805A87" w:rsidRPr="00142DC0">
        <w:rPr>
          <w:rFonts w:ascii="Calibri" w:hAnsi="Calibri" w:cs="Calibri"/>
        </w:rPr>
        <w:t xml:space="preserve">central banks continue to </w:t>
      </w:r>
      <w:r w:rsidR="00F23A1A" w:rsidRPr="00142DC0">
        <w:rPr>
          <w:rFonts w:ascii="Calibri" w:hAnsi="Calibri" w:cs="Calibri"/>
        </w:rPr>
        <w:t>signal their resolve to bring inflation under control; however, economic data show signs of stabilisation despite elevated inflation, which could prompt central banks to raise</w:t>
      </w:r>
      <w:r w:rsidR="00827D99" w:rsidRPr="00142DC0">
        <w:rPr>
          <w:rFonts w:ascii="Calibri" w:hAnsi="Calibri" w:cs="Calibri"/>
        </w:rPr>
        <w:t xml:space="preserve"> interest rates</w:t>
      </w:r>
      <w:r w:rsidR="00532202" w:rsidRPr="00142DC0">
        <w:rPr>
          <w:rFonts w:ascii="Calibri" w:hAnsi="Calibri" w:cs="Calibri"/>
        </w:rPr>
        <w:t xml:space="preserve"> in</w:t>
      </w:r>
      <w:r w:rsidR="00665AF3" w:rsidRPr="00142DC0">
        <w:rPr>
          <w:rFonts w:ascii="Calibri" w:hAnsi="Calibri" w:cs="Calibri"/>
        </w:rPr>
        <w:t xml:space="preserve"> 202</w:t>
      </w:r>
      <w:r w:rsidR="00254666" w:rsidRPr="00142DC0">
        <w:rPr>
          <w:rFonts w:ascii="Calibri" w:hAnsi="Calibri" w:cs="Calibri"/>
        </w:rPr>
        <w:t>6</w:t>
      </w:r>
      <w:r w:rsidR="007C64CC" w:rsidRPr="00142DC0">
        <w:rPr>
          <w:rFonts w:ascii="Calibri" w:hAnsi="Calibri" w:cs="Calibri"/>
        </w:rPr>
        <w:t xml:space="preserve">. </w:t>
      </w:r>
    </w:p>
    <w:p w14:paraId="6F8EECA2" w14:textId="526267BA" w:rsidR="00025089" w:rsidRPr="00142DC0" w:rsidRDefault="00025089" w:rsidP="007152C2">
      <w:pPr>
        <w:spacing w:before="120" w:after="120" w:line="240" w:lineRule="auto"/>
        <w:jc w:val="both"/>
        <w:rPr>
          <w:rFonts w:ascii="Calibri" w:hAnsi="Calibri" w:cs="Calibri"/>
          <w:b/>
          <w:bCs/>
        </w:rPr>
      </w:pPr>
      <w:r w:rsidRPr="00142DC0">
        <w:rPr>
          <w:rFonts w:ascii="Calibri" w:hAnsi="Calibri" w:cs="Calibri"/>
          <w:b/>
          <w:bCs/>
        </w:rPr>
        <w:t xml:space="preserve">The following commentary is based on month-end closing prices as </w:t>
      </w:r>
      <w:r w:rsidR="00E97818" w:rsidRPr="00142DC0">
        <w:rPr>
          <w:rFonts w:ascii="Calibri" w:hAnsi="Calibri" w:cs="Calibri"/>
          <w:b/>
          <w:bCs/>
        </w:rPr>
        <w:t>of</w:t>
      </w:r>
      <w:r w:rsidRPr="00142DC0">
        <w:rPr>
          <w:rFonts w:ascii="Calibri" w:hAnsi="Calibri" w:cs="Calibri"/>
          <w:b/>
          <w:bCs/>
        </w:rPr>
        <w:t xml:space="preserve"> </w:t>
      </w:r>
      <w:r w:rsidR="00CF7CCB" w:rsidRPr="00142DC0">
        <w:rPr>
          <w:rFonts w:ascii="Calibri" w:hAnsi="Calibri" w:cs="Calibri"/>
          <w:b/>
          <w:bCs/>
        </w:rPr>
        <w:t>August</w:t>
      </w:r>
      <w:r w:rsidR="00532202" w:rsidRPr="00142DC0">
        <w:rPr>
          <w:rFonts w:ascii="Calibri" w:hAnsi="Calibri" w:cs="Calibri"/>
          <w:b/>
          <w:bCs/>
        </w:rPr>
        <w:t xml:space="preserve"> </w:t>
      </w:r>
      <w:r w:rsidR="000749F7" w:rsidRPr="00142DC0">
        <w:rPr>
          <w:rFonts w:ascii="Calibri" w:hAnsi="Calibri" w:cs="Calibri"/>
          <w:b/>
          <w:bCs/>
        </w:rPr>
        <w:t>3</w:t>
      </w:r>
      <w:r w:rsidR="00735E89" w:rsidRPr="00142DC0">
        <w:rPr>
          <w:rFonts w:ascii="Calibri" w:hAnsi="Calibri" w:cs="Calibri"/>
          <w:b/>
          <w:bCs/>
        </w:rPr>
        <w:t>1</w:t>
      </w:r>
      <w:r w:rsidR="00FA6C5E" w:rsidRPr="00142DC0">
        <w:rPr>
          <w:rFonts w:ascii="Calibri" w:hAnsi="Calibri" w:cs="Calibri"/>
          <w:b/>
          <w:bCs/>
        </w:rPr>
        <w:t>,</w:t>
      </w:r>
      <w:r w:rsidRPr="00142DC0">
        <w:rPr>
          <w:rFonts w:ascii="Calibri" w:hAnsi="Calibri" w:cs="Calibri"/>
          <w:b/>
          <w:bCs/>
        </w:rPr>
        <w:t xml:space="preserve"> </w:t>
      </w:r>
      <w:r w:rsidR="002F0E91" w:rsidRPr="00142DC0">
        <w:rPr>
          <w:rFonts w:ascii="Calibri" w:hAnsi="Calibri" w:cs="Calibri"/>
          <w:b/>
          <w:bCs/>
        </w:rPr>
        <w:t>202</w:t>
      </w:r>
      <w:r w:rsidR="00E03292" w:rsidRPr="00142DC0">
        <w:rPr>
          <w:rFonts w:ascii="Calibri" w:hAnsi="Calibri" w:cs="Calibri"/>
          <w:b/>
          <w:bCs/>
        </w:rPr>
        <w:t>6</w:t>
      </w:r>
      <w:r w:rsidR="00181027" w:rsidRPr="00142DC0">
        <w:rPr>
          <w:rFonts w:ascii="Calibri" w:hAnsi="Calibri" w:cs="Calibri"/>
          <w:b/>
          <w:bCs/>
        </w:rPr>
        <w:t>:</w:t>
      </w:r>
      <w:r w:rsidRPr="00142DC0">
        <w:rPr>
          <w:rFonts w:ascii="Calibri" w:hAnsi="Calibri" w:cs="Calibri"/>
          <w:b/>
          <w:bCs/>
        </w:rPr>
        <w:t xml:space="preserve"> </w:t>
      </w:r>
    </w:p>
    <w:p w14:paraId="1C9B1309" w14:textId="7CA3263C" w:rsidR="00A769F6" w:rsidRPr="00142DC0" w:rsidRDefault="007B239A" w:rsidP="007152C2">
      <w:pPr>
        <w:spacing w:before="120" w:after="120" w:line="240" w:lineRule="auto"/>
        <w:jc w:val="both"/>
        <w:rPr>
          <w:rFonts w:ascii="Calibri" w:hAnsi="Calibri" w:cs="Calibri"/>
        </w:rPr>
      </w:pPr>
      <w:r w:rsidRPr="00142DC0">
        <w:rPr>
          <w:rFonts w:ascii="Calibri" w:hAnsi="Calibri" w:cs="Calibri"/>
        </w:rPr>
        <w:t xml:space="preserve">Global </w:t>
      </w:r>
      <w:r w:rsidR="00CB2DF1" w:rsidRPr="00142DC0">
        <w:rPr>
          <w:rFonts w:ascii="Calibri" w:hAnsi="Calibri" w:cs="Calibri"/>
        </w:rPr>
        <w:t xml:space="preserve">share </w:t>
      </w:r>
      <w:r w:rsidR="00F82AE9" w:rsidRPr="00142DC0">
        <w:rPr>
          <w:rFonts w:ascii="Calibri" w:hAnsi="Calibri" w:cs="Calibri"/>
        </w:rPr>
        <w:t xml:space="preserve">markets </w:t>
      </w:r>
      <w:r w:rsidR="00E66A84" w:rsidRPr="00142DC0">
        <w:rPr>
          <w:rFonts w:ascii="Calibri" w:hAnsi="Calibri" w:cs="Calibri"/>
        </w:rPr>
        <w:t xml:space="preserve">were </w:t>
      </w:r>
      <w:r w:rsidR="00ED4E2F" w:rsidRPr="00142DC0">
        <w:rPr>
          <w:rFonts w:ascii="Calibri" w:hAnsi="Calibri" w:cs="Calibri"/>
        </w:rPr>
        <w:t xml:space="preserve">mostly </w:t>
      </w:r>
      <w:r w:rsidR="00CA471D" w:rsidRPr="00142DC0">
        <w:rPr>
          <w:rFonts w:ascii="Calibri" w:hAnsi="Calibri" w:cs="Calibri"/>
        </w:rPr>
        <w:t xml:space="preserve">stronger in </w:t>
      </w:r>
      <w:r w:rsidR="00DD518F" w:rsidRPr="00142DC0">
        <w:rPr>
          <w:rFonts w:ascii="Calibri" w:hAnsi="Calibri" w:cs="Calibri"/>
        </w:rPr>
        <w:t xml:space="preserve">July, with </w:t>
      </w:r>
      <w:r w:rsidR="003C32B2">
        <w:rPr>
          <w:rFonts w:ascii="Calibri" w:hAnsi="Calibri" w:cs="Calibri"/>
        </w:rPr>
        <w:t xml:space="preserve">gains in emerging markets and Australia </w:t>
      </w:r>
      <w:r w:rsidR="00DD518F" w:rsidRPr="00142DC0">
        <w:rPr>
          <w:rFonts w:ascii="Calibri" w:hAnsi="Calibri" w:cs="Calibri"/>
        </w:rPr>
        <w:t>offsetting weakness in Asia and Japan</w:t>
      </w:r>
      <w:r w:rsidR="00CC1C8F" w:rsidRPr="00142DC0">
        <w:rPr>
          <w:rFonts w:ascii="Calibri" w:hAnsi="Calibri" w:cs="Calibri"/>
        </w:rPr>
        <w:t xml:space="preserve">, where concerns </w:t>
      </w:r>
      <w:r w:rsidR="00391DC1" w:rsidRPr="00142DC0">
        <w:rPr>
          <w:rFonts w:ascii="Calibri" w:hAnsi="Calibri" w:cs="Calibri"/>
        </w:rPr>
        <w:t>about higher energy prices and a colder winter drove markets lower.</w:t>
      </w:r>
      <w:r w:rsidR="00DA5D5A" w:rsidRPr="00142DC0">
        <w:rPr>
          <w:rFonts w:ascii="Calibri" w:hAnsi="Calibri" w:cs="Calibri"/>
        </w:rPr>
        <w:t xml:space="preserve"> </w:t>
      </w:r>
      <w:r w:rsidR="009A131A" w:rsidRPr="00142DC0">
        <w:rPr>
          <w:rFonts w:ascii="Calibri" w:hAnsi="Calibri" w:cs="Calibri"/>
        </w:rPr>
        <w:t>I</w:t>
      </w:r>
      <w:r w:rsidR="00CD19B7" w:rsidRPr="00142DC0">
        <w:rPr>
          <w:rFonts w:ascii="Calibri" w:hAnsi="Calibri" w:cs="Calibri"/>
        </w:rPr>
        <w:t>nvestors</w:t>
      </w:r>
      <w:r w:rsidR="009A131A" w:rsidRPr="00142DC0">
        <w:rPr>
          <w:rFonts w:ascii="Calibri" w:hAnsi="Calibri" w:cs="Calibri"/>
        </w:rPr>
        <w:t xml:space="preserve"> </w:t>
      </w:r>
      <w:r w:rsidR="001A4D78" w:rsidRPr="00142DC0">
        <w:rPr>
          <w:rFonts w:ascii="Calibri" w:hAnsi="Calibri" w:cs="Calibri"/>
        </w:rPr>
        <w:t>are unsure whether geopolitical events in the Middle East will end soon, with oil rising substantially over the month, reviving fears that inflation will not subside in the near term</w:t>
      </w:r>
      <w:r w:rsidR="0044054A" w:rsidRPr="00142DC0">
        <w:rPr>
          <w:rFonts w:ascii="Calibri" w:hAnsi="Calibri" w:cs="Calibri"/>
        </w:rPr>
        <w:t>.</w:t>
      </w:r>
      <w:r w:rsidR="005D2FDE" w:rsidRPr="00142DC0">
        <w:rPr>
          <w:rFonts w:ascii="Calibri" w:hAnsi="Calibri" w:cs="Calibri"/>
        </w:rPr>
        <w:t xml:space="preserve"> The AUD/</w:t>
      </w:r>
      <w:r w:rsidR="00A769F6" w:rsidRPr="00142DC0">
        <w:rPr>
          <w:rFonts w:ascii="Calibri" w:hAnsi="Calibri" w:cs="Calibri"/>
        </w:rPr>
        <w:t>USD</w:t>
      </w:r>
      <w:r w:rsidR="00A22C87" w:rsidRPr="00142DC0">
        <w:rPr>
          <w:rFonts w:ascii="Calibri" w:hAnsi="Calibri" w:cs="Calibri"/>
        </w:rPr>
        <w:t xml:space="preserve"> </w:t>
      </w:r>
      <w:r w:rsidR="00171660" w:rsidRPr="00142DC0">
        <w:rPr>
          <w:rFonts w:ascii="Calibri" w:hAnsi="Calibri" w:cs="Calibri"/>
        </w:rPr>
        <w:t>gained</w:t>
      </w:r>
      <w:r w:rsidR="00AB7B22" w:rsidRPr="00142DC0">
        <w:rPr>
          <w:rFonts w:ascii="Calibri" w:hAnsi="Calibri" w:cs="Calibri"/>
        </w:rPr>
        <w:t xml:space="preserve"> </w:t>
      </w:r>
      <w:r w:rsidR="00391DC1" w:rsidRPr="00142DC0">
        <w:rPr>
          <w:rFonts w:ascii="Calibri" w:hAnsi="Calibri" w:cs="Calibri"/>
        </w:rPr>
        <w:t xml:space="preserve">after US interest rate expectations shifted </w:t>
      </w:r>
      <w:r w:rsidR="00A769F6" w:rsidRPr="00142DC0">
        <w:rPr>
          <w:rFonts w:ascii="Calibri" w:hAnsi="Calibri" w:cs="Calibri"/>
        </w:rPr>
        <w:t>from</w:t>
      </w:r>
      <w:r w:rsidR="00B712C4" w:rsidRPr="00142DC0">
        <w:rPr>
          <w:rFonts w:ascii="Calibri" w:hAnsi="Calibri" w:cs="Calibri"/>
        </w:rPr>
        <w:t xml:space="preserve"> 0.7022 </w:t>
      </w:r>
      <w:r w:rsidR="00A769F6" w:rsidRPr="00142DC0">
        <w:rPr>
          <w:rFonts w:ascii="Calibri" w:hAnsi="Calibri" w:cs="Calibri"/>
        </w:rPr>
        <w:t>to 0.</w:t>
      </w:r>
      <w:r w:rsidR="00171660" w:rsidRPr="00142DC0">
        <w:rPr>
          <w:rFonts w:ascii="Calibri" w:hAnsi="Calibri" w:cs="Calibri"/>
        </w:rPr>
        <w:t>7</w:t>
      </w:r>
      <w:r w:rsidR="00B712C4" w:rsidRPr="00142DC0">
        <w:rPr>
          <w:rFonts w:ascii="Calibri" w:hAnsi="Calibri" w:cs="Calibri"/>
        </w:rPr>
        <w:t>167</w:t>
      </w:r>
      <w:r w:rsidR="005D2FDE" w:rsidRPr="00142DC0">
        <w:rPr>
          <w:rFonts w:ascii="Calibri" w:hAnsi="Calibri" w:cs="Calibri"/>
        </w:rPr>
        <w:t xml:space="preserve"> </w:t>
      </w:r>
      <w:r w:rsidR="0070417A" w:rsidRPr="00142DC0">
        <w:rPr>
          <w:rFonts w:ascii="Calibri" w:hAnsi="Calibri" w:cs="Calibri"/>
        </w:rPr>
        <w:t>(</w:t>
      </w:r>
      <w:r w:rsidR="009B7AF1" w:rsidRPr="00142DC0">
        <w:rPr>
          <w:rFonts w:ascii="Calibri" w:hAnsi="Calibri" w:cs="Calibri"/>
        </w:rPr>
        <w:t>+</w:t>
      </w:r>
      <w:r w:rsidR="000776CD" w:rsidRPr="00142DC0">
        <w:rPr>
          <w:rFonts w:ascii="Calibri" w:hAnsi="Calibri" w:cs="Calibri"/>
        </w:rPr>
        <w:t>2.1</w:t>
      </w:r>
      <w:r w:rsidR="00142BD6" w:rsidRPr="00142DC0">
        <w:rPr>
          <w:rFonts w:ascii="Calibri" w:hAnsi="Calibri" w:cs="Calibri"/>
        </w:rPr>
        <w:t>%</w:t>
      </w:r>
      <w:r w:rsidR="0070417A" w:rsidRPr="00142DC0">
        <w:rPr>
          <w:rFonts w:ascii="Calibri" w:hAnsi="Calibri" w:cs="Calibri"/>
        </w:rPr>
        <w:t>)</w:t>
      </w:r>
      <w:r w:rsidR="00A3250C" w:rsidRPr="00142DC0">
        <w:rPr>
          <w:rFonts w:ascii="Calibri" w:hAnsi="Calibri" w:cs="Calibri"/>
        </w:rPr>
        <w:t>.</w:t>
      </w:r>
    </w:p>
    <w:p w14:paraId="2DCB7E32" w14:textId="3AF064A6" w:rsidR="000678BF" w:rsidRPr="00142DC0" w:rsidRDefault="00BC0503" w:rsidP="00E773E0">
      <w:pPr>
        <w:spacing w:before="120" w:after="120" w:line="240" w:lineRule="auto"/>
        <w:jc w:val="both"/>
        <w:rPr>
          <w:rFonts w:ascii="Calibri" w:hAnsi="Calibri" w:cs="Calibri"/>
        </w:rPr>
      </w:pPr>
      <w:r w:rsidRPr="00142DC0">
        <w:rPr>
          <w:rFonts w:ascii="Calibri" w:hAnsi="Calibri" w:cs="Calibri"/>
        </w:rPr>
        <w:t>The U</w:t>
      </w:r>
      <w:r w:rsidR="007F0629" w:rsidRPr="00142DC0">
        <w:rPr>
          <w:rFonts w:ascii="Calibri" w:hAnsi="Calibri" w:cs="Calibri"/>
        </w:rPr>
        <w:t>.S.</w:t>
      </w:r>
      <w:r w:rsidRPr="00142DC0">
        <w:rPr>
          <w:rFonts w:ascii="Calibri" w:hAnsi="Calibri" w:cs="Calibri"/>
        </w:rPr>
        <w:t xml:space="preserve"> </w:t>
      </w:r>
      <w:r w:rsidR="00FD39EE" w:rsidRPr="00142DC0">
        <w:rPr>
          <w:rFonts w:ascii="Calibri" w:hAnsi="Calibri" w:cs="Calibri"/>
        </w:rPr>
        <w:t xml:space="preserve">Fed </w:t>
      </w:r>
      <w:r w:rsidR="00097243" w:rsidRPr="00142DC0">
        <w:rPr>
          <w:rFonts w:ascii="Calibri" w:hAnsi="Calibri" w:cs="Calibri"/>
        </w:rPr>
        <w:t>held</w:t>
      </w:r>
      <w:r w:rsidR="00FD39EE" w:rsidRPr="00142DC0">
        <w:rPr>
          <w:rFonts w:ascii="Calibri" w:hAnsi="Calibri" w:cs="Calibri"/>
        </w:rPr>
        <w:t xml:space="preserve"> </w:t>
      </w:r>
      <w:r w:rsidR="00123BD7" w:rsidRPr="00142DC0">
        <w:rPr>
          <w:rFonts w:ascii="Calibri" w:hAnsi="Calibri" w:cs="Calibri"/>
        </w:rPr>
        <w:t>the federal funds rate target range at</w:t>
      </w:r>
      <w:r w:rsidRPr="00142DC0">
        <w:rPr>
          <w:rFonts w:ascii="Calibri" w:hAnsi="Calibri" w:cs="Calibri"/>
        </w:rPr>
        <w:t xml:space="preserve"> </w:t>
      </w:r>
      <w:r w:rsidR="006E4BB0" w:rsidRPr="00142DC0">
        <w:rPr>
          <w:rFonts w:ascii="Calibri" w:hAnsi="Calibri" w:cs="Calibri"/>
          <w:b/>
          <w:bCs/>
        </w:rPr>
        <w:t>3.</w:t>
      </w:r>
      <w:r w:rsidR="0077612C" w:rsidRPr="00142DC0">
        <w:rPr>
          <w:rFonts w:ascii="Calibri" w:hAnsi="Calibri" w:cs="Calibri"/>
          <w:b/>
          <w:bCs/>
        </w:rPr>
        <w:t>50</w:t>
      </w:r>
      <w:r w:rsidRPr="00142DC0">
        <w:rPr>
          <w:rFonts w:ascii="Calibri" w:hAnsi="Calibri" w:cs="Calibri"/>
          <w:b/>
          <w:bCs/>
        </w:rPr>
        <w:t>%-</w:t>
      </w:r>
      <w:r w:rsidR="0077612C" w:rsidRPr="00142DC0">
        <w:rPr>
          <w:rFonts w:ascii="Calibri" w:hAnsi="Calibri" w:cs="Calibri"/>
          <w:b/>
          <w:bCs/>
        </w:rPr>
        <w:t>3.75</w:t>
      </w:r>
      <w:r w:rsidRPr="00142DC0">
        <w:rPr>
          <w:rFonts w:ascii="Calibri" w:hAnsi="Calibri" w:cs="Calibri"/>
          <w:b/>
          <w:bCs/>
        </w:rPr>
        <w:t>%</w:t>
      </w:r>
      <w:r w:rsidRPr="00142DC0">
        <w:rPr>
          <w:rFonts w:ascii="Calibri" w:hAnsi="Calibri" w:cs="Calibri"/>
        </w:rPr>
        <w:t xml:space="preserve"> </w:t>
      </w:r>
      <w:r w:rsidR="00391DC1" w:rsidRPr="00142DC0">
        <w:rPr>
          <w:rFonts w:ascii="Calibri" w:hAnsi="Calibri" w:cs="Calibri"/>
        </w:rPr>
        <w:t>at its meeting on 28/29</w:t>
      </w:r>
      <w:r w:rsidR="006A0D59" w:rsidRPr="00142DC0">
        <w:rPr>
          <w:rFonts w:ascii="Calibri" w:hAnsi="Calibri" w:cs="Calibri"/>
          <w:color w:val="222222"/>
          <w:shd w:val="clear" w:color="auto" w:fill="FFFFFF"/>
        </w:rPr>
        <w:t xml:space="preserve"> </w:t>
      </w:r>
      <w:r w:rsidR="00321B63" w:rsidRPr="00142DC0">
        <w:rPr>
          <w:rFonts w:ascii="Calibri" w:hAnsi="Calibri" w:cs="Calibri"/>
          <w:color w:val="222222"/>
          <w:shd w:val="clear" w:color="auto" w:fill="FFFFFF"/>
        </w:rPr>
        <w:t>July</w:t>
      </w:r>
      <w:r w:rsidR="00E5339B" w:rsidRPr="00142DC0">
        <w:rPr>
          <w:rFonts w:ascii="Calibri" w:hAnsi="Calibri" w:cs="Calibri"/>
          <w:color w:val="222222"/>
          <w:shd w:val="clear" w:color="auto" w:fill="FFFFFF"/>
        </w:rPr>
        <w:t xml:space="preserve"> </w:t>
      </w:r>
      <w:r w:rsidR="006A0D59" w:rsidRPr="00142DC0">
        <w:rPr>
          <w:rFonts w:ascii="Calibri" w:hAnsi="Calibri" w:cs="Calibri"/>
          <w:color w:val="222222"/>
          <w:shd w:val="clear" w:color="auto" w:fill="FFFFFF"/>
        </w:rPr>
        <w:t>2026</w:t>
      </w:r>
      <w:r w:rsidRPr="00142DC0">
        <w:rPr>
          <w:rFonts w:ascii="Calibri" w:hAnsi="Calibri" w:cs="Calibri"/>
        </w:rPr>
        <w:t xml:space="preserve">. </w:t>
      </w:r>
      <w:r w:rsidR="0060235A" w:rsidRPr="00142DC0">
        <w:rPr>
          <w:rFonts w:ascii="Calibri" w:hAnsi="Calibri" w:cs="Calibri"/>
        </w:rPr>
        <w:t>Last month</w:t>
      </w:r>
      <w:r w:rsidR="00EF2696" w:rsidRPr="00142DC0">
        <w:rPr>
          <w:rFonts w:ascii="Calibri" w:hAnsi="Calibri" w:cs="Calibri"/>
        </w:rPr>
        <w:t xml:space="preserve">, </w:t>
      </w:r>
      <w:r w:rsidR="00391DC1" w:rsidRPr="00142DC0">
        <w:rPr>
          <w:rFonts w:ascii="Calibri" w:hAnsi="Calibri" w:cs="Calibri"/>
        </w:rPr>
        <w:t xml:space="preserve">soft-landing rhetoric came under pressure amid expected inflation gains following the oil price spike's impact on food prices, bringing the chances of a US rate hike </w:t>
      </w:r>
      <w:r w:rsidR="00F23A1A" w:rsidRPr="00142DC0">
        <w:rPr>
          <w:rFonts w:ascii="Calibri" w:hAnsi="Calibri" w:cs="Calibri"/>
        </w:rPr>
        <w:t>back into focus</w:t>
      </w:r>
      <w:r w:rsidR="00E773E0" w:rsidRPr="00142DC0">
        <w:rPr>
          <w:rFonts w:ascii="Calibri" w:hAnsi="Calibri" w:cs="Calibri"/>
        </w:rPr>
        <w:t xml:space="preserve">. </w:t>
      </w:r>
      <w:r w:rsidR="00ED4632" w:rsidRPr="00142DC0">
        <w:rPr>
          <w:rFonts w:ascii="Calibri" w:hAnsi="Calibri" w:cs="Calibri"/>
        </w:rPr>
        <w:t xml:space="preserve">The next Fed meeting is on the </w:t>
      </w:r>
      <w:r w:rsidR="005E604E" w:rsidRPr="00142DC0">
        <w:rPr>
          <w:rFonts w:ascii="Calibri" w:hAnsi="Calibri" w:cs="Calibri"/>
          <w:color w:val="222222"/>
          <w:shd w:val="clear" w:color="auto" w:fill="FFFFFF"/>
        </w:rPr>
        <w:t>15</w:t>
      </w:r>
      <w:r w:rsidR="008A1544" w:rsidRPr="00142DC0">
        <w:rPr>
          <w:rFonts w:ascii="Calibri" w:hAnsi="Calibri" w:cs="Calibri"/>
          <w:color w:val="222222"/>
          <w:shd w:val="clear" w:color="auto" w:fill="FFFFFF"/>
          <w:vertAlign w:val="superscript"/>
        </w:rPr>
        <w:t>th</w:t>
      </w:r>
      <w:r w:rsidR="00A56F79" w:rsidRPr="00142DC0">
        <w:rPr>
          <w:rFonts w:ascii="Calibri" w:hAnsi="Calibri" w:cs="Calibri"/>
          <w:color w:val="222222"/>
          <w:shd w:val="clear" w:color="auto" w:fill="FFFFFF"/>
        </w:rPr>
        <w:t>/</w:t>
      </w:r>
      <w:r w:rsidR="005E604E" w:rsidRPr="00142DC0">
        <w:rPr>
          <w:rFonts w:ascii="Calibri" w:hAnsi="Calibri" w:cs="Calibri"/>
          <w:color w:val="222222"/>
          <w:shd w:val="clear" w:color="auto" w:fill="FFFFFF"/>
        </w:rPr>
        <w:t>16</w:t>
      </w:r>
      <w:r w:rsidR="008A1544" w:rsidRPr="00142DC0">
        <w:rPr>
          <w:rFonts w:ascii="Calibri" w:hAnsi="Calibri" w:cs="Calibri"/>
          <w:color w:val="222222"/>
          <w:shd w:val="clear" w:color="auto" w:fill="FFFFFF"/>
          <w:vertAlign w:val="superscript"/>
        </w:rPr>
        <w:t>th</w:t>
      </w:r>
      <w:r w:rsidR="008A1544" w:rsidRPr="00142DC0">
        <w:rPr>
          <w:rFonts w:ascii="Calibri" w:hAnsi="Calibri" w:cs="Calibri"/>
          <w:color w:val="222222"/>
          <w:shd w:val="clear" w:color="auto" w:fill="FFFFFF"/>
        </w:rPr>
        <w:t xml:space="preserve"> </w:t>
      </w:r>
      <w:r w:rsidR="005E604E" w:rsidRPr="00142DC0">
        <w:rPr>
          <w:rFonts w:ascii="Calibri" w:hAnsi="Calibri" w:cs="Calibri"/>
          <w:color w:val="222222"/>
          <w:shd w:val="clear" w:color="auto" w:fill="FFFFFF"/>
        </w:rPr>
        <w:t>September</w:t>
      </w:r>
      <w:r w:rsidR="008A1544" w:rsidRPr="00142DC0">
        <w:rPr>
          <w:rFonts w:ascii="Calibri" w:hAnsi="Calibri" w:cs="Calibri"/>
          <w:color w:val="222222"/>
          <w:shd w:val="clear" w:color="auto" w:fill="FFFFFF"/>
        </w:rPr>
        <w:t xml:space="preserve"> 202</w:t>
      </w:r>
      <w:r w:rsidR="00857D2E" w:rsidRPr="00142DC0">
        <w:rPr>
          <w:rFonts w:ascii="Calibri" w:hAnsi="Calibri" w:cs="Calibri"/>
          <w:color w:val="222222"/>
          <w:shd w:val="clear" w:color="auto" w:fill="FFFFFF"/>
        </w:rPr>
        <w:t>6</w:t>
      </w:r>
      <w:r w:rsidR="008A1544" w:rsidRPr="00142DC0">
        <w:rPr>
          <w:rFonts w:ascii="Calibri" w:hAnsi="Calibri" w:cs="Calibri"/>
          <w:color w:val="222222"/>
          <w:shd w:val="clear" w:color="auto" w:fill="FFFFFF"/>
        </w:rPr>
        <w:t xml:space="preserve">. </w:t>
      </w:r>
    </w:p>
    <w:p w14:paraId="3EB233A4" w14:textId="02373883" w:rsidR="00BC0503" w:rsidRPr="00142DC0" w:rsidRDefault="00BC0503" w:rsidP="007152C2">
      <w:pPr>
        <w:spacing w:before="120" w:after="120" w:line="240" w:lineRule="auto"/>
        <w:jc w:val="both"/>
        <w:rPr>
          <w:rFonts w:ascii="Calibri" w:hAnsi="Calibri" w:cs="Calibri"/>
        </w:rPr>
      </w:pPr>
      <w:r w:rsidRPr="00142DC0">
        <w:rPr>
          <w:rFonts w:ascii="Calibri" w:hAnsi="Calibri" w:cs="Calibri"/>
        </w:rPr>
        <w:t xml:space="preserve">The underlying </w:t>
      </w:r>
      <w:r w:rsidR="004A3955" w:rsidRPr="00142DC0">
        <w:rPr>
          <w:rFonts w:ascii="Calibri" w:hAnsi="Calibri" w:cs="Calibri"/>
        </w:rPr>
        <w:t xml:space="preserve">short-term </w:t>
      </w:r>
      <w:r w:rsidRPr="00142DC0">
        <w:rPr>
          <w:rFonts w:ascii="Calibri" w:hAnsi="Calibri" w:cs="Calibri"/>
        </w:rPr>
        <w:t xml:space="preserve">theme is </w:t>
      </w:r>
      <w:r w:rsidR="004C57B4" w:rsidRPr="00142DC0">
        <w:rPr>
          <w:rFonts w:ascii="Calibri" w:hAnsi="Calibri" w:cs="Calibri"/>
          <w:b/>
          <w:bCs/>
        </w:rPr>
        <w:t>"</w:t>
      </w:r>
      <w:r w:rsidR="00E86106" w:rsidRPr="00142DC0">
        <w:rPr>
          <w:rFonts w:ascii="Calibri" w:hAnsi="Calibri" w:cs="Calibri"/>
          <w:b/>
          <w:bCs/>
        </w:rPr>
        <w:t xml:space="preserve">mildly </w:t>
      </w:r>
      <w:r w:rsidR="00335455" w:rsidRPr="00142DC0">
        <w:rPr>
          <w:rFonts w:ascii="Calibri" w:hAnsi="Calibri" w:cs="Calibri"/>
          <w:b/>
          <w:bCs/>
        </w:rPr>
        <w:t>cautious</w:t>
      </w:r>
      <w:r w:rsidR="004C57B4" w:rsidRPr="00142DC0">
        <w:rPr>
          <w:rFonts w:ascii="Calibri" w:hAnsi="Calibri" w:cs="Calibri"/>
          <w:b/>
          <w:bCs/>
        </w:rPr>
        <w:t>"</w:t>
      </w:r>
      <w:r w:rsidR="00FD39EE" w:rsidRPr="00142DC0">
        <w:rPr>
          <w:rFonts w:ascii="Calibri" w:hAnsi="Calibri" w:cs="Calibri"/>
          <w:b/>
          <w:bCs/>
        </w:rPr>
        <w:t xml:space="preserve"> </w:t>
      </w:r>
      <w:r w:rsidRPr="00142DC0">
        <w:rPr>
          <w:rFonts w:ascii="Calibri" w:hAnsi="Calibri" w:cs="Calibri"/>
        </w:rPr>
        <w:t>for shares</w:t>
      </w:r>
      <w:r w:rsidR="002344AE" w:rsidRPr="00142DC0">
        <w:rPr>
          <w:rFonts w:ascii="Calibri" w:hAnsi="Calibri" w:cs="Calibri"/>
        </w:rPr>
        <w:t xml:space="preserve">. </w:t>
      </w:r>
    </w:p>
    <w:p w14:paraId="17CFDA06" w14:textId="4FD41C27" w:rsidR="00840936" w:rsidRPr="00142DC0" w:rsidRDefault="00F3465F" w:rsidP="007152C2">
      <w:pPr>
        <w:spacing w:before="120" w:after="120" w:line="240" w:lineRule="auto"/>
        <w:jc w:val="both"/>
        <w:rPr>
          <w:rFonts w:ascii="Calibri" w:hAnsi="Calibri" w:cs="Calibri"/>
        </w:rPr>
      </w:pPr>
      <w:r w:rsidRPr="00142DC0">
        <w:rPr>
          <w:rFonts w:ascii="Calibri" w:hAnsi="Calibri" w:cs="Calibri"/>
        </w:rPr>
        <w:lastRenderedPageBreak/>
        <w:t>T</w:t>
      </w:r>
      <w:r w:rsidR="00BC034A" w:rsidRPr="00142DC0">
        <w:rPr>
          <w:rFonts w:ascii="Calibri" w:hAnsi="Calibri" w:cs="Calibri"/>
        </w:rPr>
        <w:t>he</w:t>
      </w:r>
      <w:r w:rsidR="00D76073" w:rsidRPr="00142DC0">
        <w:rPr>
          <w:rFonts w:ascii="Calibri" w:hAnsi="Calibri" w:cs="Calibri"/>
        </w:rPr>
        <w:t xml:space="preserve"> situation in</w:t>
      </w:r>
      <w:r w:rsidRPr="00142DC0">
        <w:rPr>
          <w:rFonts w:ascii="Calibri" w:hAnsi="Calibri" w:cs="Calibri"/>
        </w:rPr>
        <w:t xml:space="preserve"> </w:t>
      </w:r>
      <w:r w:rsidR="004C57B4" w:rsidRPr="00142DC0">
        <w:rPr>
          <w:rFonts w:ascii="Calibri" w:hAnsi="Calibri" w:cs="Calibri"/>
        </w:rPr>
        <w:t xml:space="preserve">the </w:t>
      </w:r>
      <w:r w:rsidRPr="00142DC0">
        <w:rPr>
          <w:rFonts w:ascii="Calibri" w:hAnsi="Calibri" w:cs="Calibri"/>
        </w:rPr>
        <w:t xml:space="preserve">Russia/Ukraine </w:t>
      </w:r>
      <w:r w:rsidR="00BC034A" w:rsidRPr="00142DC0">
        <w:rPr>
          <w:rFonts w:ascii="Calibri" w:hAnsi="Calibri" w:cs="Calibri"/>
        </w:rPr>
        <w:t>conflict</w:t>
      </w:r>
      <w:r w:rsidR="00D76073" w:rsidRPr="00142DC0">
        <w:rPr>
          <w:rFonts w:ascii="Calibri" w:hAnsi="Calibri" w:cs="Calibri"/>
        </w:rPr>
        <w:t xml:space="preserve"> remains unchanged</w:t>
      </w:r>
      <w:r w:rsidR="007F5563" w:rsidRPr="00142DC0">
        <w:rPr>
          <w:rFonts w:ascii="Calibri" w:hAnsi="Calibri" w:cs="Calibri"/>
        </w:rPr>
        <w:t>,</w:t>
      </w:r>
      <w:r w:rsidR="00532202" w:rsidRPr="00142DC0">
        <w:rPr>
          <w:rFonts w:ascii="Calibri" w:hAnsi="Calibri" w:cs="Calibri"/>
        </w:rPr>
        <w:t xml:space="preserve"> </w:t>
      </w:r>
      <w:r w:rsidR="003B6A70" w:rsidRPr="00142DC0">
        <w:rPr>
          <w:rFonts w:ascii="Calibri" w:hAnsi="Calibri" w:cs="Calibri"/>
        </w:rPr>
        <w:t>with</w:t>
      </w:r>
      <w:r w:rsidR="00403EC7" w:rsidRPr="00142DC0">
        <w:rPr>
          <w:rFonts w:ascii="Calibri" w:hAnsi="Calibri" w:cs="Calibri"/>
        </w:rPr>
        <w:t xml:space="preserve"> </w:t>
      </w:r>
      <w:r w:rsidR="00802E86" w:rsidRPr="00142DC0">
        <w:rPr>
          <w:rFonts w:ascii="Calibri" w:hAnsi="Calibri" w:cs="Calibri"/>
        </w:rPr>
        <w:t>the latest conflict between Israel</w:t>
      </w:r>
      <w:r w:rsidR="00532202" w:rsidRPr="00142DC0">
        <w:rPr>
          <w:rFonts w:ascii="Calibri" w:hAnsi="Calibri" w:cs="Calibri"/>
        </w:rPr>
        <w:t xml:space="preserve"> and</w:t>
      </w:r>
      <w:r w:rsidR="00802E86" w:rsidRPr="00142DC0">
        <w:rPr>
          <w:rFonts w:ascii="Calibri" w:hAnsi="Calibri" w:cs="Calibri"/>
        </w:rPr>
        <w:t xml:space="preserve"> </w:t>
      </w:r>
      <w:r w:rsidR="00131EB9" w:rsidRPr="00142DC0">
        <w:rPr>
          <w:rFonts w:ascii="Calibri" w:hAnsi="Calibri" w:cs="Calibri"/>
        </w:rPr>
        <w:t>Gaza (</w:t>
      </w:r>
      <w:r w:rsidR="00802E86" w:rsidRPr="00142DC0">
        <w:rPr>
          <w:rFonts w:ascii="Calibri" w:hAnsi="Calibri" w:cs="Calibri"/>
        </w:rPr>
        <w:t>H</w:t>
      </w:r>
      <w:r w:rsidR="008F5026" w:rsidRPr="00142DC0">
        <w:rPr>
          <w:rFonts w:ascii="Calibri" w:hAnsi="Calibri" w:cs="Calibri"/>
        </w:rPr>
        <w:t>a</w:t>
      </w:r>
      <w:r w:rsidR="00802E86" w:rsidRPr="00142DC0">
        <w:rPr>
          <w:rFonts w:ascii="Calibri" w:hAnsi="Calibri" w:cs="Calibri"/>
        </w:rPr>
        <w:t>mas</w:t>
      </w:r>
      <w:r w:rsidR="00131EB9" w:rsidRPr="00142DC0">
        <w:rPr>
          <w:rFonts w:ascii="Calibri" w:hAnsi="Calibri" w:cs="Calibri"/>
        </w:rPr>
        <w:t xml:space="preserve">) </w:t>
      </w:r>
      <w:r w:rsidR="003B6A70" w:rsidRPr="00142DC0">
        <w:rPr>
          <w:rFonts w:ascii="Calibri" w:hAnsi="Calibri" w:cs="Calibri"/>
        </w:rPr>
        <w:t>remaining unchanged as well</w:t>
      </w:r>
      <w:r w:rsidR="00840936" w:rsidRPr="00142DC0">
        <w:rPr>
          <w:rFonts w:ascii="Calibri" w:hAnsi="Calibri" w:cs="Calibri"/>
        </w:rPr>
        <w:t>. Volatility</w:t>
      </w:r>
      <w:r w:rsidR="00335455" w:rsidRPr="00142DC0">
        <w:rPr>
          <w:rFonts w:ascii="Calibri" w:hAnsi="Calibri" w:cs="Calibri"/>
        </w:rPr>
        <w:t xml:space="preserve"> and </w:t>
      </w:r>
      <w:r w:rsidR="00AF4A5E" w:rsidRPr="00142DC0">
        <w:rPr>
          <w:rFonts w:ascii="Calibri" w:hAnsi="Calibri" w:cs="Calibri"/>
        </w:rPr>
        <w:t>risk</w:t>
      </w:r>
      <w:r w:rsidR="00840936" w:rsidRPr="00142DC0">
        <w:rPr>
          <w:rFonts w:ascii="Calibri" w:hAnsi="Calibri" w:cs="Calibri"/>
        </w:rPr>
        <w:t xml:space="preserve"> increased as the USA/Israel moved towards </w:t>
      </w:r>
      <w:r w:rsidR="001D4409" w:rsidRPr="00142DC0">
        <w:rPr>
          <w:rFonts w:ascii="Calibri" w:hAnsi="Calibri" w:cs="Calibri"/>
        </w:rPr>
        <w:t xml:space="preserve">a war with Iran. </w:t>
      </w:r>
    </w:p>
    <w:p w14:paraId="246E64DC" w14:textId="517E14F8" w:rsidR="00BC1541" w:rsidRPr="00142DC0" w:rsidRDefault="00BC1541" w:rsidP="001D4409">
      <w:pPr>
        <w:spacing w:before="120" w:after="120" w:line="240" w:lineRule="auto"/>
        <w:jc w:val="both"/>
        <w:rPr>
          <w:rFonts w:ascii="Calibri" w:hAnsi="Calibri" w:cs="Calibri"/>
          <w:b/>
          <w:bCs/>
        </w:rPr>
      </w:pPr>
      <w:r w:rsidRPr="00142DC0">
        <w:rPr>
          <w:rFonts w:ascii="Calibri" w:hAnsi="Calibri" w:cs="Calibri"/>
          <w:b/>
          <w:bCs/>
        </w:rPr>
        <w:t>Investor Focus</w:t>
      </w:r>
    </w:p>
    <w:p w14:paraId="4E857430" w14:textId="4B62EBCB" w:rsidR="00E210AE" w:rsidRPr="00142DC0" w:rsidRDefault="00257621" w:rsidP="007152C2">
      <w:pPr>
        <w:tabs>
          <w:tab w:val="left" w:pos="5520"/>
        </w:tabs>
        <w:spacing w:before="120" w:after="120" w:line="240" w:lineRule="auto"/>
        <w:jc w:val="both"/>
        <w:rPr>
          <w:rFonts w:ascii="Calibri" w:hAnsi="Calibri" w:cs="Calibri"/>
        </w:rPr>
      </w:pPr>
      <w:r w:rsidRPr="00142DC0">
        <w:rPr>
          <w:rFonts w:ascii="Calibri" w:hAnsi="Calibri" w:cs="Calibri"/>
          <w:b/>
          <w:bCs/>
        </w:rPr>
        <w:t>For Australia</w:t>
      </w:r>
      <w:r w:rsidRPr="00142DC0">
        <w:rPr>
          <w:rFonts w:ascii="Calibri" w:hAnsi="Calibri" w:cs="Calibri"/>
        </w:rPr>
        <w:t>, i</w:t>
      </w:r>
      <w:r w:rsidR="00CF1D42" w:rsidRPr="00142DC0">
        <w:rPr>
          <w:rFonts w:ascii="Calibri" w:hAnsi="Calibri" w:cs="Calibri"/>
        </w:rPr>
        <w:t>nvestors</w:t>
      </w:r>
      <w:r w:rsidR="009E7EF6" w:rsidRPr="00142DC0">
        <w:rPr>
          <w:rFonts w:ascii="Calibri" w:hAnsi="Calibri" w:cs="Calibri"/>
        </w:rPr>
        <w:t xml:space="preserve"> focu</w:t>
      </w:r>
      <w:r w:rsidRPr="00142DC0">
        <w:rPr>
          <w:rFonts w:ascii="Calibri" w:hAnsi="Calibri" w:cs="Calibri"/>
        </w:rPr>
        <w:t>sed o</w:t>
      </w:r>
      <w:r w:rsidR="00E52572" w:rsidRPr="00142DC0">
        <w:rPr>
          <w:rFonts w:ascii="Calibri" w:hAnsi="Calibri" w:cs="Calibri"/>
        </w:rPr>
        <w:t>n</w:t>
      </w:r>
      <w:r w:rsidR="00BC1541" w:rsidRPr="00142DC0">
        <w:rPr>
          <w:rFonts w:ascii="Calibri" w:hAnsi="Calibri" w:cs="Calibri"/>
        </w:rPr>
        <w:t xml:space="preserve"> </w:t>
      </w:r>
      <w:r w:rsidR="00E52572" w:rsidRPr="00142DC0">
        <w:rPr>
          <w:rFonts w:ascii="Calibri" w:hAnsi="Calibri" w:cs="Calibri"/>
        </w:rPr>
        <w:t>the following</w:t>
      </w:r>
      <w:r w:rsidR="00790F5A" w:rsidRPr="00142DC0">
        <w:rPr>
          <w:rFonts w:ascii="Calibri" w:hAnsi="Calibri" w:cs="Calibri"/>
        </w:rPr>
        <w:t xml:space="preserve"> issues:</w:t>
      </w:r>
    </w:p>
    <w:p w14:paraId="1159AA1C" w14:textId="50416409" w:rsidR="005200E9" w:rsidRPr="00142DC0" w:rsidRDefault="00C52E4A" w:rsidP="007152C2">
      <w:pPr>
        <w:pStyle w:val="ListParagraph"/>
        <w:numPr>
          <w:ilvl w:val="0"/>
          <w:numId w:val="6"/>
        </w:numPr>
        <w:spacing w:before="0" w:after="0" w:line="276" w:lineRule="auto"/>
        <w:ind w:left="357" w:hanging="357"/>
        <w:jc w:val="both"/>
        <w:rPr>
          <w:rFonts w:cs="Calibri"/>
          <w:szCs w:val="22"/>
        </w:rPr>
      </w:pPr>
      <w:r w:rsidRPr="00142DC0">
        <w:rPr>
          <w:rFonts w:cs="Calibri"/>
          <w:b/>
          <w:bCs/>
          <w:szCs w:val="22"/>
        </w:rPr>
        <w:t>Cost of living expenses</w:t>
      </w:r>
      <w:r w:rsidRPr="00142DC0">
        <w:rPr>
          <w:rFonts w:cs="Calibri"/>
          <w:szCs w:val="22"/>
        </w:rPr>
        <w:t xml:space="preserve"> and the impact on </w:t>
      </w:r>
      <w:r w:rsidRPr="00142DC0">
        <w:rPr>
          <w:rFonts w:cs="Calibri"/>
          <w:b/>
          <w:bCs/>
          <w:szCs w:val="22"/>
        </w:rPr>
        <w:t>consumer spending</w:t>
      </w:r>
      <w:r w:rsidR="00617146" w:rsidRPr="00142DC0">
        <w:rPr>
          <w:rFonts w:cs="Calibri"/>
          <w:szCs w:val="22"/>
        </w:rPr>
        <w:t>.</w:t>
      </w:r>
    </w:p>
    <w:p w14:paraId="71F71B01" w14:textId="71A4F2C9" w:rsidR="00C52E4A" w:rsidRPr="00142DC0" w:rsidRDefault="00131EB9" w:rsidP="007152C2">
      <w:pPr>
        <w:pStyle w:val="ListParagraph"/>
        <w:numPr>
          <w:ilvl w:val="0"/>
          <w:numId w:val="6"/>
        </w:numPr>
        <w:spacing w:before="0" w:after="0" w:line="276" w:lineRule="auto"/>
        <w:ind w:left="357" w:hanging="357"/>
        <w:jc w:val="both"/>
        <w:rPr>
          <w:rFonts w:cs="Calibri"/>
          <w:szCs w:val="22"/>
        </w:rPr>
      </w:pPr>
      <w:r w:rsidRPr="00142DC0">
        <w:rPr>
          <w:rFonts w:cs="Calibri"/>
          <w:b/>
          <w:bCs/>
          <w:szCs w:val="22"/>
        </w:rPr>
        <w:t>C</w:t>
      </w:r>
      <w:r w:rsidR="00382D5C" w:rsidRPr="00142DC0">
        <w:rPr>
          <w:rFonts w:cs="Calibri"/>
          <w:b/>
          <w:bCs/>
          <w:szCs w:val="22"/>
        </w:rPr>
        <w:t xml:space="preserve">ommodity prices </w:t>
      </w:r>
      <w:r w:rsidRPr="00142DC0">
        <w:rPr>
          <w:rFonts w:cs="Calibri"/>
          <w:szCs w:val="22"/>
        </w:rPr>
        <w:t>(post</w:t>
      </w:r>
      <w:r w:rsidR="000E3302" w:rsidRPr="00142DC0">
        <w:rPr>
          <w:rFonts w:cs="Calibri"/>
          <w:szCs w:val="22"/>
        </w:rPr>
        <w:t>-</w:t>
      </w:r>
      <w:r w:rsidRPr="00142DC0">
        <w:rPr>
          <w:rFonts w:cs="Calibri"/>
          <w:szCs w:val="22"/>
        </w:rPr>
        <w:t xml:space="preserve">China policy changes) </w:t>
      </w:r>
      <w:r w:rsidR="00382D5C" w:rsidRPr="00142DC0">
        <w:rPr>
          <w:rFonts w:cs="Calibri"/>
          <w:b/>
          <w:bCs/>
          <w:szCs w:val="22"/>
        </w:rPr>
        <w:t>and the impact on company profits</w:t>
      </w:r>
      <w:r w:rsidR="007077FC" w:rsidRPr="00142DC0">
        <w:rPr>
          <w:rFonts w:cs="Calibri"/>
          <w:b/>
          <w:bCs/>
          <w:szCs w:val="22"/>
        </w:rPr>
        <w:t>.</w:t>
      </w:r>
    </w:p>
    <w:p w14:paraId="78654FD1" w14:textId="6002F464" w:rsidR="00C52E4A" w:rsidRPr="00142DC0" w:rsidRDefault="00C52E4A" w:rsidP="007152C2">
      <w:pPr>
        <w:pStyle w:val="ListParagraph"/>
        <w:numPr>
          <w:ilvl w:val="0"/>
          <w:numId w:val="6"/>
        </w:numPr>
        <w:spacing w:before="0" w:after="0" w:line="276" w:lineRule="auto"/>
        <w:ind w:left="357" w:hanging="357"/>
        <w:jc w:val="both"/>
        <w:rPr>
          <w:rFonts w:cs="Calibri"/>
          <w:szCs w:val="22"/>
        </w:rPr>
      </w:pPr>
      <w:r w:rsidRPr="00142DC0">
        <w:rPr>
          <w:rFonts w:cs="Calibri"/>
          <w:szCs w:val="22"/>
        </w:rPr>
        <w:t xml:space="preserve">The level of </w:t>
      </w:r>
      <w:r w:rsidRPr="00142DC0">
        <w:rPr>
          <w:rFonts w:cs="Calibri"/>
          <w:b/>
          <w:bCs/>
          <w:szCs w:val="22"/>
        </w:rPr>
        <w:t>interest rates</w:t>
      </w:r>
      <w:r w:rsidRPr="00142DC0">
        <w:rPr>
          <w:rFonts w:cs="Calibri"/>
          <w:szCs w:val="22"/>
        </w:rPr>
        <w:t xml:space="preserve"> and the delicate position of the RBA</w:t>
      </w:r>
      <w:r w:rsidR="000E3302" w:rsidRPr="00142DC0">
        <w:rPr>
          <w:rFonts w:cs="Calibri"/>
          <w:szCs w:val="22"/>
        </w:rPr>
        <w:t>,</w:t>
      </w:r>
      <w:r w:rsidRPr="00142DC0">
        <w:rPr>
          <w:rFonts w:cs="Calibri"/>
          <w:szCs w:val="22"/>
        </w:rPr>
        <w:t xml:space="preserve"> given </w:t>
      </w:r>
      <w:r w:rsidR="001B3379" w:rsidRPr="00142DC0">
        <w:rPr>
          <w:rFonts w:cs="Calibri"/>
          <w:szCs w:val="22"/>
        </w:rPr>
        <w:t xml:space="preserve">the </w:t>
      </w:r>
      <w:r w:rsidR="00B562DB" w:rsidRPr="00142DC0">
        <w:rPr>
          <w:rFonts w:cs="Calibri"/>
          <w:szCs w:val="22"/>
        </w:rPr>
        <w:t>global volatility in markets</w:t>
      </w:r>
      <w:r w:rsidRPr="00142DC0">
        <w:rPr>
          <w:rFonts w:cs="Calibri"/>
          <w:szCs w:val="22"/>
        </w:rPr>
        <w:t>.</w:t>
      </w:r>
    </w:p>
    <w:p w14:paraId="098FF998" w14:textId="6C04297C" w:rsidR="001D4409" w:rsidRPr="00142DC0" w:rsidRDefault="001D4409" w:rsidP="007152C2">
      <w:pPr>
        <w:pStyle w:val="ListParagraph"/>
        <w:numPr>
          <w:ilvl w:val="0"/>
          <w:numId w:val="6"/>
        </w:numPr>
        <w:spacing w:before="0" w:after="0" w:line="276" w:lineRule="auto"/>
        <w:ind w:left="357" w:hanging="357"/>
        <w:jc w:val="both"/>
        <w:rPr>
          <w:rFonts w:cs="Calibri"/>
          <w:szCs w:val="22"/>
        </w:rPr>
      </w:pPr>
      <w:r w:rsidRPr="00142DC0">
        <w:rPr>
          <w:rFonts w:cs="Calibri"/>
          <w:b/>
          <w:bCs/>
          <w:szCs w:val="22"/>
        </w:rPr>
        <w:t>Rising Oil Prices</w:t>
      </w:r>
      <w:r w:rsidRPr="00142DC0">
        <w:rPr>
          <w:rFonts w:cs="Calibri"/>
          <w:szCs w:val="22"/>
        </w:rPr>
        <w:t xml:space="preserve"> as conflicts with Iran </w:t>
      </w:r>
      <w:r w:rsidR="00391DC1" w:rsidRPr="00142DC0">
        <w:rPr>
          <w:rFonts w:cs="Calibri"/>
          <w:szCs w:val="22"/>
        </w:rPr>
        <w:t>re-escalate</w:t>
      </w:r>
    </w:p>
    <w:p w14:paraId="5B79F6A2" w14:textId="7DA02946" w:rsidR="007077FC" w:rsidRPr="00142DC0" w:rsidRDefault="007077FC" w:rsidP="007152C2">
      <w:pPr>
        <w:pStyle w:val="ListParagraph"/>
        <w:numPr>
          <w:ilvl w:val="0"/>
          <w:numId w:val="6"/>
        </w:numPr>
        <w:spacing w:before="0" w:after="0" w:line="276" w:lineRule="auto"/>
        <w:ind w:left="357" w:hanging="357"/>
        <w:jc w:val="both"/>
        <w:rPr>
          <w:rFonts w:cs="Calibri"/>
          <w:szCs w:val="22"/>
        </w:rPr>
      </w:pPr>
      <w:r w:rsidRPr="00142DC0">
        <w:rPr>
          <w:rFonts w:cs="Calibri"/>
          <w:b/>
          <w:bCs/>
          <w:szCs w:val="22"/>
        </w:rPr>
        <w:t>U</w:t>
      </w:r>
      <w:r w:rsidR="007F0629" w:rsidRPr="00142DC0">
        <w:rPr>
          <w:rFonts w:cs="Calibri"/>
          <w:b/>
          <w:bCs/>
          <w:szCs w:val="22"/>
        </w:rPr>
        <w:t>.S.</w:t>
      </w:r>
      <w:r w:rsidRPr="00142DC0">
        <w:rPr>
          <w:rFonts w:cs="Calibri"/>
          <w:b/>
          <w:bCs/>
          <w:szCs w:val="22"/>
        </w:rPr>
        <w:t xml:space="preserve"> tariffs</w:t>
      </w:r>
      <w:r w:rsidRPr="00142DC0">
        <w:rPr>
          <w:rFonts w:cs="Calibri"/>
          <w:szCs w:val="22"/>
        </w:rPr>
        <w:t xml:space="preserve"> and the impact on Australia</w:t>
      </w:r>
      <w:r w:rsidR="004C57B4" w:rsidRPr="00142DC0">
        <w:rPr>
          <w:rFonts w:cs="Calibri"/>
          <w:szCs w:val="22"/>
        </w:rPr>
        <w:t>'</w:t>
      </w:r>
      <w:r w:rsidRPr="00142DC0">
        <w:rPr>
          <w:rFonts w:cs="Calibri"/>
          <w:szCs w:val="22"/>
        </w:rPr>
        <w:t>s exports</w:t>
      </w:r>
      <w:r w:rsidR="00A25E50" w:rsidRPr="00142DC0">
        <w:rPr>
          <w:rFonts w:cs="Calibri"/>
          <w:szCs w:val="22"/>
        </w:rPr>
        <w:t xml:space="preserve"> (if any)</w:t>
      </w:r>
      <w:r w:rsidR="00B562DB" w:rsidRPr="00142DC0">
        <w:rPr>
          <w:rFonts w:cs="Calibri"/>
          <w:szCs w:val="22"/>
        </w:rPr>
        <w:t>.</w:t>
      </w:r>
    </w:p>
    <w:p w14:paraId="72D4FB61" w14:textId="43EF605D" w:rsidR="00C52E4A" w:rsidRPr="00142DC0" w:rsidRDefault="00C52E4A" w:rsidP="007152C2">
      <w:pPr>
        <w:pStyle w:val="ListParagraph"/>
        <w:numPr>
          <w:ilvl w:val="0"/>
          <w:numId w:val="6"/>
        </w:numPr>
        <w:spacing w:before="0" w:after="0" w:line="276" w:lineRule="auto"/>
        <w:ind w:left="357" w:hanging="357"/>
        <w:jc w:val="both"/>
        <w:rPr>
          <w:rFonts w:cs="Calibri"/>
          <w:szCs w:val="22"/>
        </w:rPr>
      </w:pPr>
      <w:r w:rsidRPr="00142DC0">
        <w:rPr>
          <w:rFonts w:cs="Calibri"/>
          <w:b/>
          <w:bCs/>
          <w:szCs w:val="22"/>
        </w:rPr>
        <w:t>Inflation</w:t>
      </w:r>
      <w:r w:rsidRPr="00142DC0">
        <w:rPr>
          <w:rFonts w:cs="Calibri"/>
          <w:szCs w:val="22"/>
        </w:rPr>
        <w:t xml:space="preserve"> </w:t>
      </w:r>
      <w:r w:rsidR="00382D5C" w:rsidRPr="00142DC0">
        <w:rPr>
          <w:rFonts w:cs="Calibri"/>
          <w:szCs w:val="22"/>
        </w:rPr>
        <w:t>(</w:t>
      </w:r>
      <w:r w:rsidR="000E3302" w:rsidRPr="00142DC0">
        <w:rPr>
          <w:rFonts w:cs="Calibri"/>
          <w:szCs w:val="22"/>
        </w:rPr>
        <w:t xml:space="preserve">year-over-year) </w:t>
      </w:r>
      <w:r w:rsidR="00A2024D" w:rsidRPr="00142DC0">
        <w:rPr>
          <w:rFonts w:cs="Calibri"/>
          <w:szCs w:val="22"/>
        </w:rPr>
        <w:t>decreased</w:t>
      </w:r>
      <w:r w:rsidR="002E4EA7" w:rsidRPr="00142DC0">
        <w:rPr>
          <w:rFonts w:cs="Calibri"/>
          <w:szCs w:val="22"/>
        </w:rPr>
        <w:t xml:space="preserve"> to </w:t>
      </w:r>
      <w:r w:rsidR="00A2024D" w:rsidRPr="00142DC0">
        <w:rPr>
          <w:rFonts w:cs="Calibri"/>
          <w:szCs w:val="22"/>
        </w:rPr>
        <w:t>3.8</w:t>
      </w:r>
      <w:r w:rsidR="00814FFF" w:rsidRPr="00142DC0">
        <w:rPr>
          <w:rFonts w:cs="Calibri"/>
          <w:szCs w:val="22"/>
        </w:rPr>
        <w:t>% i</w:t>
      </w:r>
      <w:r w:rsidR="000E3302" w:rsidRPr="00142DC0">
        <w:rPr>
          <w:rFonts w:cs="Calibri"/>
          <w:szCs w:val="22"/>
        </w:rPr>
        <w:t>n</w:t>
      </w:r>
      <w:r w:rsidR="00814FFF" w:rsidRPr="00142DC0">
        <w:rPr>
          <w:rFonts w:cs="Calibri"/>
          <w:szCs w:val="22"/>
        </w:rPr>
        <w:t xml:space="preserve"> the </w:t>
      </w:r>
      <w:r w:rsidR="00A2024D" w:rsidRPr="00142DC0">
        <w:rPr>
          <w:rFonts w:cs="Calibri"/>
          <w:szCs w:val="22"/>
        </w:rPr>
        <w:t>June</w:t>
      </w:r>
      <w:r w:rsidR="00814FFF" w:rsidRPr="00142DC0">
        <w:rPr>
          <w:rFonts w:cs="Calibri"/>
          <w:szCs w:val="22"/>
        </w:rPr>
        <w:t xml:space="preserve"> quarter</w:t>
      </w:r>
      <w:r w:rsidR="000E3302" w:rsidRPr="00142DC0">
        <w:rPr>
          <w:rFonts w:cs="Calibri"/>
          <w:szCs w:val="22"/>
        </w:rPr>
        <w:t xml:space="preserve">, with the next quarterly CPI being released on </w:t>
      </w:r>
      <w:r w:rsidR="000D4A42" w:rsidRPr="00142DC0">
        <w:rPr>
          <w:rFonts w:cs="Calibri"/>
          <w:szCs w:val="22"/>
        </w:rPr>
        <w:t>October</w:t>
      </w:r>
      <w:r w:rsidR="000E3302" w:rsidRPr="00142DC0">
        <w:rPr>
          <w:rFonts w:cs="Calibri"/>
          <w:szCs w:val="22"/>
        </w:rPr>
        <w:t xml:space="preserve"> </w:t>
      </w:r>
      <w:r w:rsidR="005D31DC" w:rsidRPr="00142DC0">
        <w:rPr>
          <w:rFonts w:cs="Calibri"/>
          <w:szCs w:val="22"/>
        </w:rPr>
        <w:t>2</w:t>
      </w:r>
      <w:r w:rsidR="000D4A42" w:rsidRPr="00142DC0">
        <w:rPr>
          <w:rFonts w:cs="Calibri"/>
          <w:szCs w:val="22"/>
        </w:rPr>
        <w:t>8</w:t>
      </w:r>
      <w:r w:rsidR="000E3302" w:rsidRPr="00142DC0">
        <w:rPr>
          <w:rFonts w:cs="Calibri"/>
          <w:szCs w:val="22"/>
        </w:rPr>
        <w:t>,</w:t>
      </w:r>
      <w:r w:rsidR="00230265" w:rsidRPr="00142DC0">
        <w:rPr>
          <w:rFonts w:cs="Calibri"/>
          <w:szCs w:val="22"/>
        </w:rPr>
        <w:t xml:space="preserve"> 202</w:t>
      </w:r>
      <w:r w:rsidR="00016E85" w:rsidRPr="00142DC0">
        <w:rPr>
          <w:rFonts w:cs="Calibri"/>
          <w:szCs w:val="22"/>
        </w:rPr>
        <w:t>6</w:t>
      </w:r>
      <w:r w:rsidR="009D7873" w:rsidRPr="00142DC0">
        <w:rPr>
          <w:rFonts w:cs="Calibri"/>
          <w:szCs w:val="22"/>
        </w:rPr>
        <w:t>.</w:t>
      </w:r>
    </w:p>
    <w:p w14:paraId="1BD9D657" w14:textId="03203F57" w:rsidR="00BF751B" w:rsidRPr="00142DC0" w:rsidRDefault="00531BEC" w:rsidP="00827803">
      <w:pPr>
        <w:pStyle w:val="ListParagraph"/>
        <w:numPr>
          <w:ilvl w:val="0"/>
          <w:numId w:val="6"/>
        </w:numPr>
        <w:spacing w:before="0" w:after="0" w:line="276" w:lineRule="auto"/>
        <w:ind w:left="357" w:hanging="357"/>
        <w:jc w:val="both"/>
        <w:rPr>
          <w:rFonts w:cs="Calibri"/>
          <w:szCs w:val="22"/>
        </w:rPr>
      </w:pPr>
      <w:r w:rsidRPr="00142DC0">
        <w:rPr>
          <w:rFonts w:cs="Calibri"/>
          <w:b/>
          <w:bCs/>
          <w:szCs w:val="22"/>
        </w:rPr>
        <w:t xml:space="preserve">Government spending </w:t>
      </w:r>
      <w:r w:rsidRPr="00142DC0">
        <w:rPr>
          <w:rFonts w:cs="Calibri"/>
          <w:szCs w:val="22"/>
        </w:rPr>
        <w:t>and the rising debt level.</w:t>
      </w:r>
    </w:p>
    <w:p w14:paraId="2016E5D9" w14:textId="16281830" w:rsidR="003A2EF3" w:rsidRPr="00142DC0" w:rsidRDefault="009E7EF6" w:rsidP="003A2EF3">
      <w:pPr>
        <w:spacing w:before="120" w:after="120" w:line="240" w:lineRule="auto"/>
        <w:jc w:val="both"/>
        <w:rPr>
          <w:rFonts w:ascii="Calibri" w:hAnsi="Calibri" w:cs="Calibri"/>
          <w:b/>
          <w:bCs/>
        </w:rPr>
      </w:pPr>
      <w:r w:rsidRPr="00142DC0">
        <w:rPr>
          <w:rFonts w:ascii="Calibri" w:hAnsi="Calibri" w:cs="Calibri"/>
          <w:b/>
          <w:bCs/>
        </w:rPr>
        <w:t>Currency</w:t>
      </w:r>
    </w:p>
    <w:p w14:paraId="3956FE90" w14:textId="37C3E251" w:rsidR="000E6C72" w:rsidRPr="00142DC0" w:rsidRDefault="009E7EF6" w:rsidP="003A2EF3">
      <w:pPr>
        <w:spacing w:before="120" w:after="120" w:line="240" w:lineRule="auto"/>
        <w:jc w:val="both"/>
        <w:rPr>
          <w:rFonts w:ascii="Calibri" w:hAnsi="Calibri" w:cs="Calibri"/>
        </w:rPr>
      </w:pPr>
      <w:r w:rsidRPr="00142DC0">
        <w:rPr>
          <w:rFonts w:ascii="Calibri" w:hAnsi="Calibri" w:cs="Calibri"/>
        </w:rPr>
        <w:t xml:space="preserve">The </w:t>
      </w:r>
      <w:r w:rsidR="00A27DC4" w:rsidRPr="00142DC0">
        <w:rPr>
          <w:rFonts w:ascii="Calibri" w:hAnsi="Calibri" w:cs="Calibri"/>
        </w:rPr>
        <w:t>Australian Dollar</w:t>
      </w:r>
      <w:r w:rsidRPr="00142DC0">
        <w:rPr>
          <w:rFonts w:ascii="Calibri" w:hAnsi="Calibri" w:cs="Calibri"/>
        </w:rPr>
        <w:t xml:space="preserve"> closed </w:t>
      </w:r>
      <w:r w:rsidR="008B261D" w:rsidRPr="00142DC0">
        <w:rPr>
          <w:rFonts w:ascii="Calibri" w:hAnsi="Calibri" w:cs="Calibri"/>
        </w:rPr>
        <w:t>stronger</w:t>
      </w:r>
      <w:r w:rsidR="000E3302" w:rsidRPr="00142DC0">
        <w:rPr>
          <w:rFonts w:ascii="Calibri" w:hAnsi="Calibri" w:cs="Calibri"/>
        </w:rPr>
        <w:t>,</w:t>
      </w:r>
      <w:r w:rsidR="009B1992" w:rsidRPr="00142DC0">
        <w:rPr>
          <w:rFonts w:ascii="Calibri" w:hAnsi="Calibri" w:cs="Calibri"/>
        </w:rPr>
        <w:t xml:space="preserve"> </w:t>
      </w:r>
      <w:r w:rsidR="001A4D78" w:rsidRPr="00142DC0">
        <w:rPr>
          <w:rFonts w:ascii="Calibri" w:hAnsi="Calibri" w:cs="Calibri"/>
        </w:rPr>
        <w:t>with AUD/USD at 0.7</w:t>
      </w:r>
      <w:r w:rsidR="00615F70" w:rsidRPr="00142DC0">
        <w:rPr>
          <w:rFonts w:ascii="Calibri" w:hAnsi="Calibri" w:cs="Calibri"/>
        </w:rPr>
        <w:t>16</w:t>
      </w:r>
      <w:r w:rsidR="00214B04" w:rsidRPr="00142DC0">
        <w:rPr>
          <w:rFonts w:ascii="Calibri" w:hAnsi="Calibri" w:cs="Calibri"/>
        </w:rPr>
        <w:t>7</w:t>
      </w:r>
      <w:r w:rsidR="001A4D78" w:rsidRPr="00142DC0">
        <w:rPr>
          <w:rFonts w:ascii="Calibri" w:hAnsi="Calibri" w:cs="Calibri"/>
        </w:rPr>
        <w:t xml:space="preserve"> at the end of </w:t>
      </w:r>
      <w:r w:rsidR="00214B04" w:rsidRPr="00142DC0">
        <w:rPr>
          <w:rFonts w:ascii="Calibri" w:hAnsi="Calibri" w:cs="Calibri"/>
        </w:rPr>
        <w:t>August</w:t>
      </w:r>
      <w:r w:rsidR="001A4D78" w:rsidRPr="00142DC0">
        <w:rPr>
          <w:rFonts w:ascii="Calibri" w:hAnsi="Calibri" w:cs="Calibri"/>
        </w:rPr>
        <w:t xml:space="preserve"> 2026, up from </w:t>
      </w:r>
      <w:r w:rsidR="00615F70" w:rsidRPr="00142DC0">
        <w:rPr>
          <w:rFonts w:ascii="Calibri" w:hAnsi="Calibri" w:cs="Calibri"/>
        </w:rPr>
        <w:t xml:space="preserve">0.702 </w:t>
      </w:r>
      <w:r w:rsidR="00F8783D" w:rsidRPr="00142DC0">
        <w:rPr>
          <w:rFonts w:ascii="Calibri" w:hAnsi="Calibri" w:cs="Calibri"/>
        </w:rPr>
        <w:t xml:space="preserve">in </w:t>
      </w:r>
      <w:r w:rsidR="00615F70" w:rsidRPr="00142DC0">
        <w:rPr>
          <w:rFonts w:ascii="Calibri" w:hAnsi="Calibri" w:cs="Calibri"/>
        </w:rPr>
        <w:t>July</w:t>
      </w:r>
      <w:r w:rsidR="00B97AD1" w:rsidRPr="00142DC0">
        <w:rPr>
          <w:rFonts w:ascii="Calibri" w:hAnsi="Calibri" w:cs="Calibri"/>
        </w:rPr>
        <w:t xml:space="preserve">. </w:t>
      </w:r>
      <w:r w:rsidR="00B16BD2" w:rsidRPr="00142DC0">
        <w:rPr>
          <w:rFonts w:ascii="Calibri" w:hAnsi="Calibri" w:cs="Calibri"/>
        </w:rPr>
        <w:t xml:space="preserve">As </w:t>
      </w:r>
      <w:r w:rsidR="00391DC1" w:rsidRPr="00142DC0">
        <w:rPr>
          <w:rFonts w:ascii="Calibri" w:hAnsi="Calibri" w:cs="Calibri"/>
        </w:rPr>
        <w:t>a 'risk currency', the Aussie dollar tends to sell</w:t>
      </w:r>
      <w:r w:rsidR="00B16BD2" w:rsidRPr="00142DC0">
        <w:rPr>
          <w:rFonts w:ascii="Calibri" w:hAnsi="Calibri" w:cs="Calibri"/>
        </w:rPr>
        <w:t xml:space="preserve"> off </w:t>
      </w:r>
      <w:r w:rsidR="00F23A1A" w:rsidRPr="00142DC0">
        <w:rPr>
          <w:rFonts w:ascii="Calibri" w:hAnsi="Calibri" w:cs="Calibri"/>
        </w:rPr>
        <w:t>during global crises</w:t>
      </w:r>
      <w:r w:rsidR="00CA2F8F" w:rsidRPr="00142DC0">
        <w:rPr>
          <w:rFonts w:ascii="Calibri" w:hAnsi="Calibri" w:cs="Calibri"/>
        </w:rPr>
        <w:t>,</w:t>
      </w:r>
      <w:r w:rsidR="00D743F3" w:rsidRPr="00142DC0">
        <w:rPr>
          <w:rFonts w:ascii="Calibri" w:hAnsi="Calibri" w:cs="Calibri"/>
        </w:rPr>
        <w:t xml:space="preserve"> as we saw in March</w:t>
      </w:r>
      <w:r w:rsidR="00B16BD2" w:rsidRPr="00142DC0">
        <w:rPr>
          <w:rFonts w:ascii="Calibri" w:hAnsi="Calibri" w:cs="Calibri"/>
        </w:rPr>
        <w:t xml:space="preserve">, regardless of local conditions. </w:t>
      </w:r>
      <w:r w:rsidR="0071167B" w:rsidRPr="00142DC0">
        <w:rPr>
          <w:rFonts w:ascii="Calibri" w:hAnsi="Calibri" w:cs="Calibri"/>
        </w:rPr>
        <w:t xml:space="preserve">The Aussie dollar was stronger against the USD and other major currencies in August, which is the usual pattern in booms, </w:t>
      </w:r>
      <w:r w:rsidR="00391DC1" w:rsidRPr="00142DC0">
        <w:rPr>
          <w:rFonts w:ascii="Calibri" w:hAnsi="Calibri" w:cs="Calibri"/>
        </w:rPr>
        <w:t xml:space="preserve">and persistent inflation here also </w:t>
      </w:r>
      <w:r w:rsidR="0071167B" w:rsidRPr="00142DC0">
        <w:rPr>
          <w:rFonts w:ascii="Calibri" w:hAnsi="Calibri" w:cs="Calibri"/>
        </w:rPr>
        <w:t xml:space="preserve">raised the </w:t>
      </w:r>
      <w:r w:rsidR="00D637A7" w:rsidRPr="00142DC0">
        <w:rPr>
          <w:rFonts w:ascii="Calibri" w:hAnsi="Calibri" w:cs="Calibri"/>
        </w:rPr>
        <w:t>chances</w:t>
      </w:r>
      <w:r w:rsidR="0071167B" w:rsidRPr="00142DC0">
        <w:rPr>
          <w:rFonts w:ascii="Calibri" w:hAnsi="Calibri" w:cs="Calibri"/>
        </w:rPr>
        <w:t xml:space="preserve"> of RBA rate hikes.  2026 calendar year to date</w:t>
      </w:r>
      <w:r w:rsidR="00D637A7" w:rsidRPr="00142DC0">
        <w:rPr>
          <w:rFonts w:ascii="Calibri" w:hAnsi="Calibri" w:cs="Calibri"/>
        </w:rPr>
        <w:t>,</w:t>
      </w:r>
      <w:r w:rsidR="0071167B" w:rsidRPr="00142DC0">
        <w:rPr>
          <w:rFonts w:ascii="Calibri" w:hAnsi="Calibri" w:cs="Calibri"/>
        </w:rPr>
        <w:t xml:space="preserve"> </w:t>
      </w:r>
      <w:r w:rsidR="00D637A7" w:rsidRPr="00142DC0">
        <w:rPr>
          <w:rFonts w:ascii="Calibri" w:hAnsi="Calibri" w:cs="Calibri"/>
        </w:rPr>
        <w:t>the Australian Dollar</w:t>
      </w:r>
      <w:r w:rsidR="0071167B" w:rsidRPr="00142DC0">
        <w:rPr>
          <w:rFonts w:ascii="Calibri" w:hAnsi="Calibri" w:cs="Calibri"/>
        </w:rPr>
        <w:t xml:space="preserve"> is also up against all other major currencies</w:t>
      </w:r>
      <w:r w:rsidR="00D637A7" w:rsidRPr="00142DC0">
        <w:rPr>
          <w:rFonts w:ascii="Calibri" w:hAnsi="Calibri" w:cs="Calibri"/>
        </w:rPr>
        <w:t>.</w:t>
      </w:r>
    </w:p>
    <w:p w14:paraId="61BE8DE3" w14:textId="7146B1F0" w:rsidR="004D2D2C" w:rsidRPr="00142DC0" w:rsidRDefault="00AF67EB" w:rsidP="007152C2">
      <w:pPr>
        <w:jc w:val="both"/>
        <w:rPr>
          <w:rFonts w:ascii="Calibri" w:hAnsi="Calibri" w:cs="Calibri"/>
        </w:rPr>
      </w:pPr>
      <w:r w:rsidRPr="00142DC0">
        <w:rPr>
          <w:rFonts w:ascii="Calibri" w:hAnsi="Calibri" w:cs="Calibri"/>
          <w:noProof/>
        </w:rPr>
        <mc:AlternateContent>
          <mc:Choice Requires="wps">
            <w:drawing>
              <wp:anchor distT="45720" distB="45720" distL="114300" distR="114300" simplePos="0" relativeHeight="251658240" behindDoc="1" locked="0" layoutInCell="1" allowOverlap="1" wp14:anchorId="674A7F81" wp14:editId="6FD410C0">
                <wp:simplePos x="0" y="0"/>
                <wp:positionH relativeFrom="column">
                  <wp:posOffset>137160</wp:posOffset>
                </wp:positionH>
                <wp:positionV relativeFrom="paragraph">
                  <wp:posOffset>149860</wp:posOffset>
                </wp:positionV>
                <wp:extent cx="2183130" cy="1630680"/>
                <wp:effectExtent l="0" t="0" r="26670" b="26670"/>
                <wp:wrapTight wrapText="bothSides">
                  <wp:wrapPolygon edited="0">
                    <wp:start x="0" y="0"/>
                    <wp:lineTo x="0" y="21701"/>
                    <wp:lineTo x="21675" y="21701"/>
                    <wp:lineTo x="21675" y="0"/>
                    <wp:lineTo x="0" y="0"/>
                  </wp:wrapPolygon>
                </wp:wrapTight>
                <wp:docPr id="15424915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130" cy="1630680"/>
                        </a:xfrm>
                        <a:prstGeom prst="rect">
                          <a:avLst/>
                        </a:prstGeom>
                        <a:ln w="12700">
                          <a:headEnd/>
                          <a:tailEnd/>
                        </a:ln>
                      </wps:spPr>
                      <wps:style>
                        <a:lnRef idx="2">
                          <a:schemeClr val="dk1"/>
                        </a:lnRef>
                        <a:fillRef idx="1">
                          <a:schemeClr val="lt1"/>
                        </a:fillRef>
                        <a:effectRef idx="0">
                          <a:schemeClr val="dk1"/>
                        </a:effectRef>
                        <a:fontRef idx="minor">
                          <a:schemeClr val="dk1"/>
                        </a:fontRef>
                      </wps:style>
                      <wps:txbx>
                        <w:txbxContent>
                          <w:p w14:paraId="2DF79A56" w14:textId="77777777" w:rsidR="00AF67EB" w:rsidRPr="00F7278B" w:rsidRDefault="00AF67EB" w:rsidP="008E2CED">
                            <w:pPr>
                              <w:spacing w:before="0"/>
                              <w:jc w:val="both"/>
                            </w:pPr>
                            <w:r w:rsidRPr="00F7278B">
                              <w:t>Currency forecasters see the AUD/USD range between:</w:t>
                            </w:r>
                          </w:p>
                          <w:p w14:paraId="0EE890F7" w14:textId="41BFA314" w:rsidR="00AF67EB" w:rsidRPr="00F7278B" w:rsidRDefault="00AF67EB" w:rsidP="008E2CED">
                            <w:pPr>
                              <w:spacing w:before="0"/>
                              <w:jc w:val="both"/>
                            </w:pPr>
                            <w:r w:rsidRPr="00F7278B">
                              <w:rPr>
                                <w:b/>
                                <w:bCs/>
                              </w:rPr>
                              <w:t>0.</w:t>
                            </w:r>
                            <w:r w:rsidR="001D644E" w:rsidRPr="00F7278B">
                              <w:rPr>
                                <w:b/>
                                <w:bCs/>
                              </w:rPr>
                              <w:t>65</w:t>
                            </w:r>
                            <w:r w:rsidRPr="00F7278B">
                              <w:rPr>
                                <w:b/>
                                <w:bCs/>
                              </w:rPr>
                              <w:t xml:space="preserve"> and 0.</w:t>
                            </w:r>
                            <w:r w:rsidR="00F7278B" w:rsidRPr="00F7278B">
                              <w:rPr>
                                <w:b/>
                                <w:bCs/>
                              </w:rPr>
                              <w:t>75</w:t>
                            </w:r>
                            <w:r w:rsidRPr="00F7278B">
                              <w:t xml:space="preserve"> cents in the medium term and most likely to trade within the:</w:t>
                            </w:r>
                          </w:p>
                          <w:p w14:paraId="0B0DFE4B" w14:textId="77777777" w:rsidR="00AF67EB" w:rsidRDefault="00AF67EB" w:rsidP="008E2CED">
                            <w:pPr>
                              <w:spacing w:before="0"/>
                              <w:jc w:val="both"/>
                            </w:pPr>
                            <w:r w:rsidRPr="00F7278B">
                              <w:rPr>
                                <w:b/>
                                <w:bCs/>
                              </w:rPr>
                              <w:t>0.5500 to 0.7500</w:t>
                            </w:r>
                            <w:r w:rsidRPr="00F7278B">
                              <w:t xml:space="preserve"> range in the longer term.</w:t>
                            </w:r>
                          </w:p>
                          <w:p w14:paraId="32E13D51" w14:textId="77777777" w:rsidR="00AF67EB" w:rsidRDefault="00AF67EB" w:rsidP="008E2CED">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4A7F81" id="_x0000_t202" coordsize="21600,21600" o:spt="202" path="m,l,21600r21600,l21600,xe">
                <v:stroke joinstyle="miter"/>
                <v:path gradientshapeok="t" o:connecttype="rect"/>
              </v:shapetype>
              <v:shape id="Text Box 2" o:spid="_x0000_s1026" type="#_x0000_t202" style="position:absolute;left:0;text-align:left;margin-left:10.8pt;margin-top:11.8pt;width:171.9pt;height:128.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" fillcolor="white [3201]" strokecolor="#414042 [3200]" strokeweight="1pt">
                <v:textbox>
                  <w:txbxContent>
                    <w:p w14:paraId="2DF79A56" w14:textId="77777777" w:rsidR="00AF67EB" w:rsidRPr="00F7278B" w:rsidRDefault="00AF67EB" w:rsidP="008E2CED">
                      <w:pPr>
                        <w:spacing w:before="0"/>
                        <w:jc w:val="both"/>
                      </w:pPr>
                      <w:r w:rsidRPr="00F7278B">
                        <w:t>Currency forecasters see the AUD/USD range between:</w:t>
                      </w:r>
                    </w:p>
                    <w:p w14:paraId="0EE890F7" w14:textId="41BFA314" w:rsidR="00AF67EB" w:rsidRPr="00F7278B" w:rsidRDefault="00AF67EB" w:rsidP="008E2CED">
                      <w:pPr>
                        <w:spacing w:before="0"/>
                        <w:jc w:val="both"/>
                      </w:pPr>
                      <w:r w:rsidRPr="00F7278B">
                        <w:rPr>
                          <w:b/>
                          <w:bCs/>
                        </w:rPr>
                        <w:t>0.</w:t>
                      </w:r>
                      <w:r w:rsidR="001D644E" w:rsidRPr="00F7278B">
                        <w:rPr>
                          <w:b/>
                          <w:bCs/>
                        </w:rPr>
                        <w:t>65</w:t>
                      </w:r>
                      <w:r w:rsidRPr="00F7278B">
                        <w:rPr>
                          <w:b/>
                          <w:bCs/>
                        </w:rPr>
                        <w:t xml:space="preserve"> and 0.</w:t>
                      </w:r>
                      <w:r w:rsidR="00F7278B" w:rsidRPr="00F7278B">
                        <w:rPr>
                          <w:b/>
                          <w:bCs/>
                        </w:rPr>
                        <w:t>75</w:t>
                      </w:r>
                      <w:r w:rsidRPr="00F7278B">
                        <w:t xml:space="preserve"> cents in the medium term and most likely to trade within the:</w:t>
                      </w:r>
                    </w:p>
                    <w:p w14:paraId="0B0DFE4B" w14:textId="77777777" w:rsidR="00AF67EB" w:rsidRDefault="00AF67EB" w:rsidP="008E2CED">
                      <w:pPr>
                        <w:spacing w:before="0"/>
                        <w:jc w:val="both"/>
                      </w:pPr>
                      <w:r w:rsidRPr="00F7278B">
                        <w:rPr>
                          <w:b/>
                          <w:bCs/>
                        </w:rPr>
                        <w:t>0.5500 to 0.7500</w:t>
                      </w:r>
                      <w:r w:rsidRPr="00F7278B">
                        <w:t xml:space="preserve"> range in the longer term.</w:t>
                      </w:r>
                    </w:p>
                    <w:p w14:paraId="32E13D51" w14:textId="77777777" w:rsidR="00AF67EB" w:rsidRDefault="00AF67EB" w:rsidP="008E2CED">
                      <w:pPr>
                        <w:jc w:val="both"/>
                      </w:pPr>
                    </w:p>
                  </w:txbxContent>
                </v:textbox>
                <w10:wrap type="tight"/>
              </v:shape>
            </w:pict>
          </mc:Fallback>
        </mc:AlternateContent>
      </w:r>
    </w:p>
    <w:p w14:paraId="5B75D78B" w14:textId="3BC3C9FC" w:rsidR="00A25E50" w:rsidRPr="00142DC0" w:rsidRDefault="00A25E50" w:rsidP="007152C2">
      <w:pPr>
        <w:pStyle w:val="Heading2"/>
        <w:spacing w:before="0"/>
        <w:jc w:val="both"/>
        <w:rPr>
          <w:rFonts w:ascii="Calibri" w:eastAsiaTheme="minorEastAsia" w:hAnsi="Calibri" w:cs="Calibri"/>
          <w:iCs w:val="0"/>
          <w:color w:val="414042" w:themeColor="text1"/>
          <w:sz w:val="22"/>
          <w:lang w:val="en-AU" w:bidi="ar-SA"/>
        </w:rPr>
      </w:pPr>
    </w:p>
    <w:p w14:paraId="2EA3B19C" w14:textId="7CFFB791" w:rsidR="00A25E50" w:rsidRPr="00142DC0" w:rsidRDefault="006C43EE" w:rsidP="00A25E50">
      <w:pPr>
        <w:rPr>
          <w:rFonts w:ascii="Calibri" w:hAnsi="Calibri" w:cs="Calibri"/>
        </w:rPr>
      </w:pPr>
      <w:r w:rsidRPr="00142DC0">
        <w:rPr>
          <w:rFonts w:ascii="Calibri" w:hAnsi="Calibri" w:cs="Calibri"/>
          <w:noProof/>
        </w:rPr>
        <w:drawing>
          <wp:inline distT="0" distB="0" distL="0" distR="0" wp14:anchorId="79323E58" wp14:editId="4FB425F1">
            <wp:extent cx="3276600" cy="785086"/>
            <wp:effectExtent l="0" t="0" r="0" b="0"/>
            <wp:docPr id="214848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48062" name=""/>
                    <pic:cNvPicPr/>
                  </pic:nvPicPr>
                  <pic:blipFill>
                    <a:blip r:embed="rId13"/>
                    <a:stretch>
                      <a:fillRect/>
                    </a:stretch>
                  </pic:blipFill>
                  <pic:spPr>
                    <a:xfrm>
                      <a:off x="0" y="0"/>
                      <a:ext cx="3315793" cy="794477"/>
                    </a:xfrm>
                    <a:prstGeom prst="rect">
                      <a:avLst/>
                    </a:prstGeom>
                  </pic:spPr>
                </pic:pic>
              </a:graphicData>
            </a:graphic>
          </wp:inline>
        </w:drawing>
      </w:r>
    </w:p>
    <w:p w14:paraId="5FB3B747" w14:textId="77777777" w:rsidR="00A25E50" w:rsidRPr="00142DC0" w:rsidRDefault="00A25E50" w:rsidP="00A25E50">
      <w:pPr>
        <w:rPr>
          <w:rFonts w:ascii="Calibri" w:hAnsi="Calibri" w:cs="Calibri"/>
        </w:rPr>
      </w:pPr>
    </w:p>
    <w:p w14:paraId="08761A0E" w14:textId="77777777" w:rsidR="000F734B" w:rsidRPr="00142DC0" w:rsidRDefault="000F734B" w:rsidP="007152C2">
      <w:pPr>
        <w:pStyle w:val="Heading2"/>
        <w:spacing w:before="0"/>
        <w:jc w:val="both"/>
        <w:rPr>
          <w:rFonts w:ascii="Calibri" w:eastAsiaTheme="minorEastAsia" w:hAnsi="Calibri" w:cs="Calibri"/>
          <w:iCs w:val="0"/>
          <w:color w:val="414042" w:themeColor="text1"/>
          <w:sz w:val="22"/>
          <w:lang w:val="en-AU" w:bidi="ar-SA"/>
        </w:rPr>
      </w:pPr>
    </w:p>
    <w:p w14:paraId="178A1257" w14:textId="5D4A5A46" w:rsidR="009E7EF6" w:rsidRPr="00142DC0" w:rsidRDefault="009E7EF6" w:rsidP="007152C2">
      <w:pPr>
        <w:pStyle w:val="Heading2"/>
        <w:spacing w:before="0"/>
        <w:jc w:val="both"/>
        <w:rPr>
          <w:rFonts w:ascii="Calibri" w:eastAsiaTheme="minorEastAsia" w:hAnsi="Calibri" w:cs="Calibri"/>
          <w:iCs w:val="0"/>
          <w:color w:val="414042" w:themeColor="text1"/>
          <w:sz w:val="22"/>
          <w:lang w:val="en-AU" w:bidi="ar-SA"/>
        </w:rPr>
      </w:pPr>
      <w:r w:rsidRPr="00142DC0">
        <w:rPr>
          <w:rFonts w:ascii="Calibri" w:eastAsiaTheme="minorEastAsia" w:hAnsi="Calibri" w:cs="Calibri"/>
          <w:iCs w:val="0"/>
          <w:color w:val="414042" w:themeColor="text1"/>
          <w:sz w:val="22"/>
          <w:lang w:val="en-AU" w:bidi="ar-SA"/>
        </w:rPr>
        <w:t>Australian Economy</w:t>
      </w:r>
    </w:p>
    <w:p w14:paraId="26EE5924" w14:textId="7D8FC6CE" w:rsidR="009E7EF6" w:rsidRPr="00142DC0" w:rsidRDefault="00E83078" w:rsidP="007152C2">
      <w:pPr>
        <w:spacing w:before="0" w:after="240"/>
        <w:jc w:val="both"/>
        <w:rPr>
          <w:rFonts w:ascii="Calibri" w:hAnsi="Calibri" w:cs="Calibri"/>
        </w:rPr>
      </w:pPr>
      <w:r w:rsidRPr="00142DC0">
        <w:rPr>
          <w:rFonts w:ascii="Calibri" w:hAnsi="Calibri" w:cs="Calibri"/>
        </w:rPr>
        <w:t>Australia</w:t>
      </w:r>
      <w:r w:rsidR="004C57B4" w:rsidRPr="00142DC0">
        <w:rPr>
          <w:rFonts w:ascii="Calibri" w:hAnsi="Calibri" w:cs="Calibri"/>
        </w:rPr>
        <w:t>'</w:t>
      </w:r>
      <w:r w:rsidRPr="00142DC0">
        <w:rPr>
          <w:rFonts w:ascii="Calibri" w:hAnsi="Calibri" w:cs="Calibri"/>
        </w:rPr>
        <w:t>s latest GDP data for the</w:t>
      </w:r>
      <w:r w:rsidR="00CF265D" w:rsidRPr="00142DC0">
        <w:rPr>
          <w:rFonts w:ascii="Calibri" w:hAnsi="Calibri" w:cs="Calibri"/>
        </w:rPr>
        <w:t xml:space="preserve"> </w:t>
      </w:r>
      <w:r w:rsidR="00B73417" w:rsidRPr="00142DC0">
        <w:rPr>
          <w:rFonts w:ascii="Calibri" w:hAnsi="Calibri" w:cs="Calibri"/>
        </w:rPr>
        <w:t>first</w:t>
      </w:r>
      <w:r w:rsidRPr="00142DC0">
        <w:rPr>
          <w:rFonts w:ascii="Calibri" w:hAnsi="Calibri" w:cs="Calibri"/>
        </w:rPr>
        <w:t xml:space="preserve"> quarter of 202</w:t>
      </w:r>
      <w:r w:rsidR="00B73417" w:rsidRPr="00142DC0">
        <w:rPr>
          <w:rFonts w:ascii="Calibri" w:hAnsi="Calibri" w:cs="Calibri"/>
        </w:rPr>
        <w:t>6</w:t>
      </w:r>
      <w:r w:rsidRPr="00142DC0">
        <w:rPr>
          <w:rFonts w:ascii="Calibri" w:hAnsi="Calibri" w:cs="Calibri"/>
        </w:rPr>
        <w:t xml:space="preserve"> </w:t>
      </w:r>
      <w:r w:rsidR="000653A6" w:rsidRPr="00142DC0">
        <w:rPr>
          <w:rFonts w:ascii="Calibri" w:hAnsi="Calibri" w:cs="Calibri"/>
        </w:rPr>
        <w:t xml:space="preserve">showed </w:t>
      </w:r>
      <w:r w:rsidR="00391DC1" w:rsidRPr="00142DC0">
        <w:rPr>
          <w:rFonts w:ascii="Calibri" w:hAnsi="Calibri" w:cs="Calibri"/>
        </w:rPr>
        <w:t xml:space="preserve">annual growth of 2.5%, down slightly </w:t>
      </w:r>
      <w:r w:rsidR="004A6175" w:rsidRPr="00142DC0">
        <w:rPr>
          <w:rFonts w:ascii="Calibri" w:hAnsi="Calibri" w:cs="Calibri"/>
        </w:rPr>
        <w:t xml:space="preserve">from </w:t>
      </w:r>
      <w:r w:rsidR="00B6636D" w:rsidRPr="00142DC0">
        <w:rPr>
          <w:rFonts w:ascii="Calibri" w:hAnsi="Calibri" w:cs="Calibri"/>
        </w:rPr>
        <w:t>2.</w:t>
      </w:r>
      <w:r w:rsidR="00B73417" w:rsidRPr="00142DC0">
        <w:rPr>
          <w:rFonts w:ascii="Calibri" w:hAnsi="Calibri" w:cs="Calibri"/>
        </w:rPr>
        <w:t>6</w:t>
      </w:r>
      <w:r w:rsidR="004A6175" w:rsidRPr="00142DC0">
        <w:rPr>
          <w:rFonts w:ascii="Calibri" w:hAnsi="Calibri" w:cs="Calibri"/>
        </w:rPr>
        <w:t>%</w:t>
      </w:r>
      <w:r w:rsidR="009C7D80" w:rsidRPr="00142DC0">
        <w:rPr>
          <w:rFonts w:ascii="Calibri" w:hAnsi="Calibri" w:cs="Calibri"/>
        </w:rPr>
        <w:t xml:space="preserve"> </w:t>
      </w:r>
      <w:r w:rsidR="001F699A" w:rsidRPr="00142DC0">
        <w:rPr>
          <w:rFonts w:ascii="Calibri" w:hAnsi="Calibri" w:cs="Calibri"/>
        </w:rPr>
        <w:t xml:space="preserve">in the </w:t>
      </w:r>
      <w:r w:rsidR="00B73417" w:rsidRPr="00142DC0">
        <w:rPr>
          <w:rFonts w:ascii="Calibri" w:hAnsi="Calibri" w:cs="Calibri"/>
        </w:rPr>
        <w:t>final</w:t>
      </w:r>
      <w:r w:rsidRPr="00142DC0">
        <w:rPr>
          <w:rFonts w:ascii="Calibri" w:hAnsi="Calibri" w:cs="Calibri"/>
        </w:rPr>
        <w:t xml:space="preserve"> </w:t>
      </w:r>
      <w:r w:rsidR="00505DDC" w:rsidRPr="00142DC0">
        <w:rPr>
          <w:rFonts w:ascii="Calibri" w:hAnsi="Calibri" w:cs="Calibri"/>
        </w:rPr>
        <w:t xml:space="preserve">quarter </w:t>
      </w:r>
      <w:r w:rsidRPr="00142DC0">
        <w:rPr>
          <w:rFonts w:ascii="Calibri" w:hAnsi="Calibri" w:cs="Calibri"/>
        </w:rPr>
        <w:t>of 202</w:t>
      </w:r>
      <w:r w:rsidR="009C7D80" w:rsidRPr="00142DC0">
        <w:rPr>
          <w:rFonts w:ascii="Calibri" w:hAnsi="Calibri" w:cs="Calibri"/>
        </w:rPr>
        <w:t>5</w:t>
      </w:r>
      <w:r w:rsidR="002656F2" w:rsidRPr="00142DC0">
        <w:rPr>
          <w:rFonts w:ascii="Calibri" w:hAnsi="Calibri" w:cs="Calibri"/>
        </w:rPr>
        <w:t>.</w:t>
      </w:r>
      <w:r w:rsidRPr="00142DC0">
        <w:rPr>
          <w:rFonts w:ascii="Calibri" w:hAnsi="Calibri" w:cs="Calibri"/>
        </w:rPr>
        <w:t xml:space="preserve"> Unemployment </w:t>
      </w:r>
      <w:r w:rsidR="00391DC1" w:rsidRPr="00142DC0">
        <w:rPr>
          <w:rFonts w:ascii="Calibri" w:hAnsi="Calibri" w:cs="Calibri"/>
        </w:rPr>
        <w:t xml:space="preserve">rose to 4.5% in July, up from </w:t>
      </w:r>
      <w:r w:rsidR="00772C26" w:rsidRPr="00142DC0">
        <w:rPr>
          <w:rFonts w:ascii="Calibri" w:hAnsi="Calibri" w:cs="Calibri"/>
        </w:rPr>
        <w:t>4.</w:t>
      </w:r>
      <w:r w:rsidR="00CE0797" w:rsidRPr="00142DC0">
        <w:rPr>
          <w:rFonts w:ascii="Calibri" w:hAnsi="Calibri" w:cs="Calibri"/>
        </w:rPr>
        <w:t>4</w:t>
      </w:r>
      <w:r w:rsidR="00772C26" w:rsidRPr="00142DC0">
        <w:rPr>
          <w:rFonts w:ascii="Calibri" w:hAnsi="Calibri" w:cs="Calibri"/>
        </w:rPr>
        <w:t xml:space="preserve">% in </w:t>
      </w:r>
      <w:r w:rsidR="00045C20" w:rsidRPr="00142DC0">
        <w:rPr>
          <w:rFonts w:ascii="Calibri" w:hAnsi="Calibri" w:cs="Calibri"/>
        </w:rPr>
        <w:t>June</w:t>
      </w:r>
      <w:r w:rsidR="00772C26" w:rsidRPr="00142DC0">
        <w:rPr>
          <w:rFonts w:ascii="Calibri" w:hAnsi="Calibri" w:cs="Calibri"/>
        </w:rPr>
        <w:t xml:space="preserve"> 2026.</w:t>
      </w:r>
      <w:r w:rsidRPr="00142DC0">
        <w:rPr>
          <w:rFonts w:ascii="Calibri" w:hAnsi="Calibri" w:cs="Calibri"/>
        </w:rPr>
        <w:t xml:space="preserve"> The </w:t>
      </w:r>
      <w:r w:rsidR="000E3302" w:rsidRPr="00142DC0">
        <w:rPr>
          <w:rFonts w:ascii="Calibri" w:hAnsi="Calibri" w:cs="Calibri"/>
        </w:rPr>
        <w:t xml:space="preserve">year-over-year (Y-O-Y) inflation rate </w:t>
      </w:r>
      <w:r w:rsidR="00391DC1" w:rsidRPr="00142DC0">
        <w:rPr>
          <w:rFonts w:ascii="Calibri" w:hAnsi="Calibri" w:cs="Calibri"/>
        </w:rPr>
        <w:t xml:space="preserve">fell to 3.5% from 3.8% in June 2026, but it remains outside the Reserve Bank's targeted 2% to 3% inflation range and could still </w:t>
      </w:r>
      <w:r w:rsidR="00F23A1A" w:rsidRPr="00142DC0">
        <w:rPr>
          <w:rFonts w:ascii="Calibri" w:hAnsi="Calibri" w:cs="Calibri"/>
        </w:rPr>
        <w:t>prompt</w:t>
      </w:r>
      <w:r w:rsidR="00BA3B00" w:rsidRPr="00142DC0">
        <w:rPr>
          <w:rFonts w:ascii="Calibri" w:hAnsi="Calibri" w:cs="Calibri"/>
        </w:rPr>
        <w:t xml:space="preserve"> a</w:t>
      </w:r>
      <w:r w:rsidR="007B1C08" w:rsidRPr="00142DC0">
        <w:rPr>
          <w:rFonts w:ascii="Calibri" w:hAnsi="Calibri" w:cs="Calibri"/>
        </w:rPr>
        <w:t xml:space="preserve">nother </w:t>
      </w:r>
      <w:r w:rsidR="00BA3B00" w:rsidRPr="00142DC0">
        <w:rPr>
          <w:rFonts w:ascii="Calibri" w:hAnsi="Calibri" w:cs="Calibri"/>
        </w:rPr>
        <w:t xml:space="preserve">rate hike </w:t>
      </w:r>
      <w:r w:rsidR="007B1C08" w:rsidRPr="00142DC0">
        <w:rPr>
          <w:rFonts w:ascii="Calibri" w:hAnsi="Calibri" w:cs="Calibri"/>
        </w:rPr>
        <w:t>later this year</w:t>
      </w:r>
      <w:r w:rsidR="009E7EF6" w:rsidRPr="00142DC0">
        <w:rPr>
          <w:rFonts w:ascii="Calibri" w:hAnsi="Calibri" w:cs="Calibri"/>
        </w:rPr>
        <w:t xml:space="preserve">. </w:t>
      </w:r>
    </w:p>
    <w:p w14:paraId="2527D827" w14:textId="34B41AD5" w:rsidR="00147535" w:rsidRPr="00142DC0" w:rsidRDefault="00A328C6" w:rsidP="00827803">
      <w:pPr>
        <w:spacing w:before="0" w:after="0"/>
        <w:jc w:val="center"/>
      </w:pPr>
      <w:r w:rsidRPr="00142DC0">
        <w:rPr>
          <w:noProof/>
        </w:rPr>
        <w:lastRenderedPageBreak/>
        <w:drawing>
          <wp:inline distT="0" distB="0" distL="0" distR="0" wp14:anchorId="59076504" wp14:editId="758791A3">
            <wp:extent cx="2838450" cy="2379467"/>
            <wp:effectExtent l="0" t="0" r="0" b="1905"/>
            <wp:docPr id="758290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90597" name=""/>
                    <pic:cNvPicPr/>
                  </pic:nvPicPr>
                  <pic:blipFill>
                    <a:blip r:embed="rId14"/>
                    <a:stretch>
                      <a:fillRect/>
                    </a:stretch>
                  </pic:blipFill>
                  <pic:spPr>
                    <a:xfrm>
                      <a:off x="0" y="0"/>
                      <a:ext cx="2847231" cy="2386828"/>
                    </a:xfrm>
                    <a:prstGeom prst="rect">
                      <a:avLst/>
                    </a:prstGeom>
                  </pic:spPr>
                </pic:pic>
              </a:graphicData>
            </a:graphic>
          </wp:inline>
        </w:drawing>
      </w:r>
      <w:r w:rsidR="005B020C" w:rsidRPr="00142DC0">
        <w:rPr>
          <w:noProof/>
        </w:rPr>
        <w:drawing>
          <wp:inline distT="0" distB="0" distL="0" distR="0" wp14:anchorId="7C76247C" wp14:editId="3291670A">
            <wp:extent cx="2476117" cy="2352675"/>
            <wp:effectExtent l="0" t="0" r="635" b="0"/>
            <wp:docPr id="972757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57264" name=""/>
                    <pic:cNvPicPr/>
                  </pic:nvPicPr>
                  <pic:blipFill>
                    <a:blip r:embed="rId15"/>
                    <a:stretch>
                      <a:fillRect/>
                    </a:stretch>
                  </pic:blipFill>
                  <pic:spPr>
                    <a:xfrm>
                      <a:off x="0" y="0"/>
                      <a:ext cx="2488656" cy="2364589"/>
                    </a:xfrm>
                    <a:prstGeom prst="rect">
                      <a:avLst/>
                    </a:prstGeom>
                  </pic:spPr>
                </pic:pic>
              </a:graphicData>
            </a:graphic>
          </wp:inline>
        </w:drawing>
      </w:r>
    </w:p>
    <w:p w14:paraId="13598D04" w14:textId="2D54B170" w:rsidR="009E7EF6" w:rsidRPr="00142DC0" w:rsidRDefault="00147535" w:rsidP="007152C2">
      <w:pPr>
        <w:pStyle w:val="Heading2"/>
        <w:jc w:val="both"/>
        <w:rPr>
          <w:rFonts w:ascii="Calibri" w:eastAsiaTheme="minorEastAsia" w:hAnsi="Calibri" w:cs="Calibri"/>
          <w:iCs w:val="0"/>
          <w:color w:val="414042" w:themeColor="text1"/>
          <w:sz w:val="22"/>
          <w:lang w:val="en-AU" w:bidi="ar-SA"/>
        </w:rPr>
      </w:pPr>
      <w:r w:rsidRPr="00142DC0">
        <w:rPr>
          <w:rFonts w:ascii="Calibri" w:eastAsiaTheme="minorEastAsia" w:hAnsi="Calibri" w:cs="Calibri"/>
          <w:iCs w:val="0"/>
          <w:color w:val="414042" w:themeColor="text1"/>
          <w:sz w:val="22"/>
          <w:lang w:val="en-AU" w:bidi="ar-SA"/>
        </w:rPr>
        <w:t>Curr</w:t>
      </w:r>
      <w:r w:rsidR="009E7EF6" w:rsidRPr="00142DC0">
        <w:rPr>
          <w:rFonts w:ascii="Calibri" w:eastAsiaTheme="minorEastAsia" w:hAnsi="Calibri" w:cs="Calibri"/>
          <w:iCs w:val="0"/>
          <w:color w:val="414042" w:themeColor="text1"/>
          <w:sz w:val="22"/>
          <w:lang w:val="en-AU" w:bidi="ar-SA"/>
        </w:rPr>
        <w:t>ent Market View</w:t>
      </w:r>
    </w:p>
    <w:p w14:paraId="6D8387E0" w14:textId="77777777" w:rsidR="009E7EF6" w:rsidRPr="00142DC0" w:rsidRDefault="009E7EF6" w:rsidP="007152C2">
      <w:pPr>
        <w:pStyle w:val="Heading3"/>
        <w:jc w:val="both"/>
        <w:rPr>
          <w:rFonts w:ascii="Calibri" w:eastAsiaTheme="minorEastAsia" w:hAnsi="Calibri" w:cs="Calibri"/>
          <w:iCs w:val="0"/>
          <w:caps w:val="0"/>
          <w:color w:val="414042" w:themeColor="text1"/>
          <w:lang w:val="en-AU" w:bidi="ar-SA"/>
        </w:rPr>
      </w:pPr>
      <w:r w:rsidRPr="00142DC0">
        <w:rPr>
          <w:rFonts w:ascii="Calibri" w:eastAsiaTheme="minorEastAsia" w:hAnsi="Calibri" w:cs="Calibri"/>
          <w:iCs w:val="0"/>
          <w:caps w:val="0"/>
          <w:color w:val="414042" w:themeColor="text1"/>
          <w:lang w:val="en-AU" w:bidi="ar-SA"/>
        </w:rPr>
        <w:t>Domestic View</w:t>
      </w:r>
    </w:p>
    <w:p w14:paraId="79E48C03" w14:textId="08948ED8" w:rsidR="00341332" w:rsidRPr="00142DC0" w:rsidRDefault="00D658F2" w:rsidP="007152C2">
      <w:pPr>
        <w:jc w:val="both"/>
        <w:rPr>
          <w:rFonts w:ascii="Calibri" w:hAnsi="Calibri" w:cs="Calibri"/>
          <w:b/>
          <w:bCs/>
        </w:rPr>
      </w:pPr>
      <w:r w:rsidRPr="00142DC0">
        <w:rPr>
          <w:rFonts w:ascii="Calibri" w:hAnsi="Calibri" w:cs="Calibri"/>
        </w:rPr>
        <w:t xml:space="preserve">The overall </w:t>
      </w:r>
      <w:r w:rsidR="002C2046" w:rsidRPr="00142DC0">
        <w:rPr>
          <w:rFonts w:ascii="Calibri" w:hAnsi="Calibri" w:cs="Calibri"/>
        </w:rPr>
        <w:t xml:space="preserve">investment </w:t>
      </w:r>
      <w:r w:rsidR="00242925" w:rsidRPr="00142DC0">
        <w:rPr>
          <w:rFonts w:ascii="Calibri" w:hAnsi="Calibri" w:cs="Calibri"/>
        </w:rPr>
        <w:t>view</w:t>
      </w:r>
      <w:r w:rsidRPr="00142DC0">
        <w:rPr>
          <w:rFonts w:ascii="Calibri" w:hAnsi="Calibri" w:cs="Calibri"/>
        </w:rPr>
        <w:t xml:space="preserve"> </w:t>
      </w:r>
      <w:r w:rsidR="005A4CB4" w:rsidRPr="00142DC0">
        <w:rPr>
          <w:rFonts w:ascii="Calibri" w:hAnsi="Calibri" w:cs="Calibri"/>
        </w:rPr>
        <w:t xml:space="preserve">for shares </w:t>
      </w:r>
      <w:r w:rsidR="000E3302" w:rsidRPr="00142DC0">
        <w:rPr>
          <w:rFonts w:ascii="Calibri" w:hAnsi="Calibri" w:cs="Calibri"/>
          <w:b/>
          <w:bCs/>
        </w:rPr>
        <w:t>is "</w:t>
      </w:r>
      <w:r w:rsidR="00861D66" w:rsidRPr="00142DC0">
        <w:rPr>
          <w:rFonts w:ascii="Calibri" w:hAnsi="Calibri" w:cs="Calibri"/>
          <w:b/>
          <w:bCs/>
        </w:rPr>
        <w:t>cautious</w:t>
      </w:r>
      <w:r w:rsidR="000E3302" w:rsidRPr="00142DC0">
        <w:rPr>
          <w:rFonts w:ascii="Calibri" w:hAnsi="Calibri" w:cs="Calibri"/>
          <w:b/>
          <w:bCs/>
        </w:rPr>
        <w:t xml:space="preserve">" over the short term, "cautiously optimistic" over the medium term, and "long run" </w:t>
      </w:r>
      <w:r w:rsidR="00341332" w:rsidRPr="00142DC0">
        <w:rPr>
          <w:rFonts w:ascii="Calibri" w:hAnsi="Calibri" w:cs="Calibri"/>
        </w:rPr>
        <w:t xml:space="preserve">as corporate profits continue to grow </w:t>
      </w:r>
      <w:r w:rsidR="000653A6" w:rsidRPr="00142DC0">
        <w:rPr>
          <w:rFonts w:ascii="Calibri" w:hAnsi="Calibri" w:cs="Calibri"/>
        </w:rPr>
        <w:t xml:space="preserve">faster than inflation and </w:t>
      </w:r>
      <w:r w:rsidR="003A2E3B" w:rsidRPr="00142DC0">
        <w:rPr>
          <w:rFonts w:ascii="Calibri" w:hAnsi="Calibri" w:cs="Calibri"/>
        </w:rPr>
        <w:t>as the need to build out data centres drives commodity prices higher</w:t>
      </w:r>
      <w:r w:rsidR="006E4355" w:rsidRPr="00142DC0">
        <w:rPr>
          <w:rFonts w:ascii="Calibri" w:hAnsi="Calibri" w:cs="Calibri"/>
        </w:rPr>
        <w:t>.</w:t>
      </w:r>
    </w:p>
    <w:p w14:paraId="09E86B6C" w14:textId="7B2671F2" w:rsidR="0018703E" w:rsidRPr="00142DC0" w:rsidRDefault="0018703E" w:rsidP="007152C2">
      <w:pPr>
        <w:jc w:val="both"/>
        <w:rPr>
          <w:rFonts w:ascii="Calibri" w:hAnsi="Calibri" w:cs="Calibri"/>
        </w:rPr>
      </w:pPr>
      <w:r w:rsidRPr="00142DC0">
        <w:rPr>
          <w:rFonts w:ascii="Calibri" w:hAnsi="Calibri" w:cs="Calibri"/>
        </w:rPr>
        <w:t xml:space="preserve">The market </w:t>
      </w:r>
      <w:r w:rsidR="00927F06" w:rsidRPr="00142DC0">
        <w:rPr>
          <w:rFonts w:ascii="Calibri" w:hAnsi="Calibri" w:cs="Calibri"/>
        </w:rPr>
        <w:t xml:space="preserve">is currently </w:t>
      </w:r>
      <w:r w:rsidR="006E4109" w:rsidRPr="00142DC0">
        <w:rPr>
          <w:rFonts w:ascii="Calibri" w:hAnsi="Calibri" w:cs="Calibri"/>
        </w:rPr>
        <w:t>pricing in a</w:t>
      </w:r>
      <w:r w:rsidR="003A2E3B" w:rsidRPr="00142DC0">
        <w:rPr>
          <w:rFonts w:ascii="Calibri" w:hAnsi="Calibri" w:cs="Calibri"/>
        </w:rPr>
        <w:t>n</w:t>
      </w:r>
      <w:r w:rsidR="00927F06" w:rsidRPr="00142DC0">
        <w:rPr>
          <w:rFonts w:ascii="Calibri" w:hAnsi="Calibri" w:cs="Calibri"/>
        </w:rPr>
        <w:t xml:space="preserve"> interest rate hike on </w:t>
      </w:r>
      <w:r w:rsidR="007F5563" w:rsidRPr="00142DC0">
        <w:rPr>
          <w:rFonts w:ascii="Calibri" w:hAnsi="Calibri" w:cs="Calibri"/>
        </w:rPr>
        <w:t xml:space="preserve">the </w:t>
      </w:r>
      <w:r w:rsidR="00B34B3E" w:rsidRPr="00142DC0">
        <w:rPr>
          <w:rFonts w:ascii="Calibri" w:hAnsi="Calibri" w:cs="Calibri"/>
        </w:rPr>
        <w:t>2</w:t>
      </w:r>
      <w:r w:rsidR="00B34B3E" w:rsidRPr="00142DC0">
        <w:rPr>
          <w:rFonts w:ascii="Calibri" w:hAnsi="Calibri" w:cs="Calibri"/>
          <w:vertAlign w:val="superscript"/>
        </w:rPr>
        <w:t>nd</w:t>
      </w:r>
      <w:r w:rsidR="000E3302" w:rsidRPr="00142DC0">
        <w:rPr>
          <w:rFonts w:ascii="Calibri" w:hAnsi="Calibri" w:cs="Calibri"/>
        </w:rPr>
        <w:t>/</w:t>
      </w:r>
      <w:r w:rsidR="00B34B3E" w:rsidRPr="00142DC0">
        <w:rPr>
          <w:rFonts w:ascii="Calibri" w:hAnsi="Calibri" w:cs="Calibri"/>
        </w:rPr>
        <w:t>3</w:t>
      </w:r>
      <w:r w:rsidR="00B34B3E" w:rsidRPr="00142DC0">
        <w:rPr>
          <w:rFonts w:ascii="Calibri" w:hAnsi="Calibri" w:cs="Calibri"/>
          <w:vertAlign w:val="superscript"/>
        </w:rPr>
        <w:t>rd</w:t>
      </w:r>
      <w:r w:rsidR="000E3302" w:rsidRPr="00142DC0">
        <w:rPr>
          <w:rFonts w:ascii="Calibri" w:hAnsi="Calibri" w:cs="Calibri"/>
        </w:rPr>
        <w:t xml:space="preserve"> of </w:t>
      </w:r>
      <w:r w:rsidR="00B34B3E" w:rsidRPr="00142DC0">
        <w:rPr>
          <w:rFonts w:ascii="Calibri" w:hAnsi="Calibri" w:cs="Calibri"/>
        </w:rPr>
        <w:t>November</w:t>
      </w:r>
      <w:r w:rsidR="000E3302" w:rsidRPr="00142DC0">
        <w:rPr>
          <w:rFonts w:ascii="Calibri" w:hAnsi="Calibri" w:cs="Calibri"/>
        </w:rPr>
        <w:t xml:space="preserve"> 2026, due to a "</w:t>
      </w:r>
      <w:r w:rsidR="00B34B3E" w:rsidRPr="00142DC0">
        <w:rPr>
          <w:rFonts w:ascii="Calibri" w:hAnsi="Calibri" w:cs="Calibri"/>
        </w:rPr>
        <w:t>hotter</w:t>
      </w:r>
      <w:r w:rsidR="000E3302" w:rsidRPr="00142DC0">
        <w:rPr>
          <w:rFonts w:ascii="Calibri" w:hAnsi="Calibri" w:cs="Calibri"/>
        </w:rPr>
        <w:t xml:space="preserve">" inflation print in </w:t>
      </w:r>
      <w:r w:rsidR="00B34B3E" w:rsidRPr="00142DC0">
        <w:rPr>
          <w:rFonts w:ascii="Calibri" w:hAnsi="Calibri" w:cs="Calibri"/>
        </w:rPr>
        <w:t>August</w:t>
      </w:r>
      <w:r w:rsidR="000E3302" w:rsidRPr="00142DC0">
        <w:rPr>
          <w:rFonts w:ascii="Calibri" w:hAnsi="Calibri" w:cs="Calibri"/>
        </w:rPr>
        <w:t xml:space="preserve"> that showed inflation is </w:t>
      </w:r>
      <w:r w:rsidR="004A675F" w:rsidRPr="00142DC0">
        <w:rPr>
          <w:rFonts w:ascii="Calibri" w:hAnsi="Calibri" w:cs="Calibri"/>
        </w:rPr>
        <w:t>still</w:t>
      </w:r>
      <w:r w:rsidR="000E3302" w:rsidRPr="00142DC0">
        <w:rPr>
          <w:rFonts w:ascii="Calibri" w:hAnsi="Calibri" w:cs="Calibri"/>
        </w:rPr>
        <w:t xml:space="preserve"> outside the RBA's</w:t>
      </w:r>
      <w:r w:rsidR="003F223D" w:rsidRPr="00142DC0">
        <w:rPr>
          <w:rFonts w:ascii="Calibri" w:hAnsi="Calibri" w:cs="Calibri"/>
        </w:rPr>
        <w:t xml:space="preserve"> target range of 2-3%</w:t>
      </w:r>
      <w:r w:rsidR="004A675F" w:rsidRPr="00142DC0">
        <w:rPr>
          <w:rFonts w:ascii="Calibri" w:hAnsi="Calibri" w:cs="Calibri"/>
        </w:rPr>
        <w:t xml:space="preserve"> but has</w:t>
      </w:r>
      <w:r w:rsidR="00C77898" w:rsidRPr="00142DC0">
        <w:rPr>
          <w:rFonts w:ascii="Calibri" w:hAnsi="Calibri" w:cs="Calibri"/>
        </w:rPr>
        <w:t xml:space="preserve"> begun </w:t>
      </w:r>
      <w:r w:rsidR="00B34B3E" w:rsidRPr="00142DC0">
        <w:rPr>
          <w:rFonts w:ascii="Calibri" w:hAnsi="Calibri" w:cs="Calibri"/>
        </w:rPr>
        <w:t xml:space="preserve">to stop </w:t>
      </w:r>
      <w:r w:rsidR="00C77898" w:rsidRPr="00142DC0">
        <w:rPr>
          <w:rFonts w:ascii="Calibri" w:hAnsi="Calibri" w:cs="Calibri"/>
        </w:rPr>
        <w:t>trending back down towards the target band</w:t>
      </w:r>
      <w:r w:rsidR="003345F4" w:rsidRPr="00142DC0">
        <w:rPr>
          <w:rFonts w:ascii="Calibri" w:hAnsi="Calibri" w:cs="Calibri"/>
        </w:rPr>
        <w:t>.</w:t>
      </w:r>
    </w:p>
    <w:p w14:paraId="1B4AEE86" w14:textId="58CB9E27" w:rsidR="009E7EF6" w:rsidRPr="00142DC0" w:rsidRDefault="009E7EF6" w:rsidP="007152C2">
      <w:pPr>
        <w:pStyle w:val="Heading3"/>
        <w:spacing w:before="120" w:after="120"/>
        <w:jc w:val="both"/>
        <w:rPr>
          <w:rFonts w:ascii="Calibri" w:eastAsiaTheme="minorEastAsia" w:hAnsi="Calibri" w:cs="Calibri"/>
          <w:iCs w:val="0"/>
          <w:caps w:val="0"/>
          <w:color w:val="414042" w:themeColor="text1"/>
          <w:lang w:val="en-AU" w:bidi="ar-SA"/>
        </w:rPr>
      </w:pPr>
      <w:r w:rsidRPr="00142DC0">
        <w:rPr>
          <w:rFonts w:ascii="Calibri" w:eastAsiaTheme="minorEastAsia" w:hAnsi="Calibri" w:cs="Calibri"/>
          <w:iCs w:val="0"/>
          <w:caps w:val="0"/>
          <w:color w:val="414042" w:themeColor="text1"/>
          <w:lang w:val="en-AU" w:bidi="ar-SA"/>
        </w:rPr>
        <w:t>Global View</w:t>
      </w:r>
    </w:p>
    <w:p w14:paraId="7E9D3284" w14:textId="0C208568" w:rsidR="00374ED0" w:rsidRPr="00142DC0" w:rsidRDefault="00C32BB5" w:rsidP="007152C2">
      <w:pPr>
        <w:spacing w:before="120" w:after="120"/>
        <w:jc w:val="both"/>
        <w:rPr>
          <w:rFonts w:ascii="Calibri" w:hAnsi="Calibri" w:cs="Calibri"/>
        </w:rPr>
      </w:pPr>
      <w:r w:rsidRPr="00142DC0">
        <w:rPr>
          <w:rFonts w:ascii="Calibri" w:hAnsi="Calibri" w:cs="Calibri"/>
        </w:rPr>
        <w:t xml:space="preserve">The global share market remains </w:t>
      </w:r>
      <w:r w:rsidR="00374ED0" w:rsidRPr="00142DC0">
        <w:rPr>
          <w:rFonts w:ascii="Calibri" w:hAnsi="Calibri" w:cs="Calibri"/>
        </w:rPr>
        <w:t>cautious</w:t>
      </w:r>
      <w:r w:rsidR="003A2E3B" w:rsidRPr="00142DC0">
        <w:rPr>
          <w:rFonts w:ascii="Calibri" w:hAnsi="Calibri" w:cs="Calibri"/>
        </w:rPr>
        <w:t>,</w:t>
      </w:r>
      <w:r w:rsidR="003345F4" w:rsidRPr="00142DC0">
        <w:rPr>
          <w:rFonts w:ascii="Calibri" w:hAnsi="Calibri" w:cs="Calibri"/>
        </w:rPr>
        <w:t xml:space="preserve"> with concerns around AI profitability </w:t>
      </w:r>
      <w:r w:rsidR="00D90F79" w:rsidRPr="00142DC0">
        <w:rPr>
          <w:rFonts w:ascii="Calibri" w:hAnsi="Calibri" w:cs="Calibri"/>
        </w:rPr>
        <w:t>weighing on AI companies over the month</w:t>
      </w:r>
      <w:r w:rsidR="000E2540" w:rsidRPr="00142DC0">
        <w:rPr>
          <w:rFonts w:ascii="Calibri" w:hAnsi="Calibri" w:cs="Calibri"/>
        </w:rPr>
        <w:t>, alongside</w:t>
      </w:r>
      <w:r w:rsidR="003A2E3B" w:rsidRPr="00142DC0">
        <w:rPr>
          <w:rFonts w:ascii="Calibri" w:hAnsi="Calibri" w:cs="Calibri"/>
        </w:rPr>
        <w:t xml:space="preserve"> the looming threat of a global inflation spike that could force many economies to raise</w:t>
      </w:r>
      <w:r w:rsidR="00374ED0" w:rsidRPr="00142DC0">
        <w:rPr>
          <w:rFonts w:ascii="Calibri" w:hAnsi="Calibri" w:cs="Calibri"/>
        </w:rPr>
        <w:t xml:space="preserve"> interest rates. Given the current tensions in the </w:t>
      </w:r>
      <w:r w:rsidR="00904355" w:rsidRPr="00142DC0">
        <w:rPr>
          <w:rFonts w:ascii="Calibri" w:hAnsi="Calibri" w:cs="Calibri"/>
        </w:rPr>
        <w:t xml:space="preserve">Middle East, </w:t>
      </w:r>
      <w:r w:rsidR="003A2E3B" w:rsidRPr="00142DC0">
        <w:rPr>
          <w:rFonts w:ascii="Calibri" w:hAnsi="Calibri" w:cs="Calibri"/>
        </w:rPr>
        <w:t>we could see a global slowdown in GDP</w:t>
      </w:r>
      <w:r w:rsidR="00F23A1A" w:rsidRPr="00142DC0">
        <w:rPr>
          <w:rFonts w:ascii="Calibri" w:hAnsi="Calibri" w:cs="Calibri"/>
        </w:rPr>
        <w:t xml:space="preserve"> growth, as energy production cannot keep pace</w:t>
      </w:r>
      <w:r w:rsidR="00904355" w:rsidRPr="00142DC0">
        <w:rPr>
          <w:rFonts w:ascii="Calibri" w:hAnsi="Calibri" w:cs="Calibri"/>
        </w:rPr>
        <w:t xml:space="preserve"> with the rollout of AI data centres</w:t>
      </w:r>
      <w:r w:rsidR="00374ED0" w:rsidRPr="00142DC0">
        <w:rPr>
          <w:rFonts w:ascii="Calibri" w:hAnsi="Calibri" w:cs="Calibri"/>
        </w:rPr>
        <w:t>.</w:t>
      </w:r>
    </w:p>
    <w:p w14:paraId="746B3093" w14:textId="7EC625C9" w:rsidR="00476B80" w:rsidRPr="00142DC0" w:rsidRDefault="00FA2956" w:rsidP="007152C2">
      <w:pPr>
        <w:spacing w:before="120" w:after="120"/>
        <w:jc w:val="both"/>
        <w:rPr>
          <w:rFonts w:ascii="Calibri" w:hAnsi="Calibri" w:cs="Calibri"/>
          <w:b/>
          <w:bCs/>
        </w:rPr>
      </w:pPr>
      <w:proofErr w:type="gramStart"/>
      <w:r w:rsidRPr="00142DC0">
        <w:rPr>
          <w:rFonts w:ascii="Calibri" w:hAnsi="Calibri" w:cs="Calibri"/>
          <w:b/>
          <w:bCs/>
        </w:rPr>
        <w:t>Where</w:t>
      </w:r>
      <w:proofErr w:type="gramEnd"/>
      <w:r w:rsidRPr="00142DC0">
        <w:rPr>
          <w:rFonts w:ascii="Calibri" w:hAnsi="Calibri" w:cs="Calibri"/>
          <w:b/>
          <w:bCs/>
        </w:rPr>
        <w:t xml:space="preserve"> to From Here</w:t>
      </w:r>
    </w:p>
    <w:p w14:paraId="4F15116D" w14:textId="77777777" w:rsidR="00827803" w:rsidRPr="00142DC0" w:rsidRDefault="00827803" w:rsidP="00827803">
      <w:pPr>
        <w:pStyle w:val="ListParagraph"/>
        <w:numPr>
          <w:ilvl w:val="0"/>
          <w:numId w:val="17"/>
        </w:numPr>
        <w:spacing w:before="120" w:after="120"/>
        <w:jc w:val="both"/>
        <w:rPr>
          <w:rFonts w:eastAsiaTheme="minorEastAsia" w:cs="Calibri"/>
          <w:i w:val="0"/>
          <w:iCs w:val="0"/>
        </w:rPr>
      </w:pPr>
      <w:r w:rsidRPr="00142DC0">
        <w:rPr>
          <w:rFonts w:eastAsiaTheme="minorEastAsia" w:cs="Calibri"/>
          <w:i w:val="0"/>
          <w:iCs w:val="0"/>
        </w:rPr>
        <w:t>Continued shift from rules-based order and win-win multilateral trade to power-based order and win-lose trade deals. Trump did not start this. The shift started in the 2010s with the U.S./Europe letting Putin take Crimea in return for cheap gas for Germany/Europe, and the U.S./Japan letting China militarise the South China Sea. It has certainly accelerated under Trump. Lower cross-border trade &amp; investment, more reliance on government subsidies &amp; distortions, and inflationary onshoring of uneconomic industries.</w:t>
      </w:r>
    </w:p>
    <w:p w14:paraId="764A6CEB" w14:textId="72AA247B" w:rsidR="00827803" w:rsidRPr="003C32B2" w:rsidRDefault="00827803" w:rsidP="00827803">
      <w:pPr>
        <w:pStyle w:val="ListParagraph"/>
        <w:numPr>
          <w:ilvl w:val="0"/>
          <w:numId w:val="17"/>
        </w:numPr>
        <w:spacing w:before="120" w:after="120"/>
        <w:jc w:val="both"/>
        <w:rPr>
          <w:rFonts w:eastAsiaTheme="minorEastAsia" w:cs="Calibri"/>
          <w:i w:val="0"/>
          <w:iCs w:val="0"/>
        </w:rPr>
      </w:pPr>
      <w:r w:rsidRPr="003C32B2">
        <w:rPr>
          <w:rFonts w:eastAsiaTheme="minorEastAsia" w:cs="Calibri"/>
          <w:i w:val="0"/>
          <w:iCs w:val="0"/>
        </w:rPr>
        <w:lastRenderedPageBreak/>
        <w:t xml:space="preserve">Sticky inflation - political pressure on central banks to keep rates low – populist pressure on governments to keep deficit spending. Tariffs + onshoring are adding to costs/prices. Bond yields </w:t>
      </w:r>
      <w:r w:rsidR="00391DC1" w:rsidRPr="003C32B2">
        <w:rPr>
          <w:rFonts w:eastAsiaTheme="minorEastAsia" w:cs="Calibri"/>
          <w:i w:val="0"/>
          <w:iCs w:val="0"/>
        </w:rPr>
        <w:t>may stay elevated or even drift higher, with risk of yield spikes or a sudden need for rate hikes, unsettling/</w:t>
      </w:r>
      <w:r w:rsidRPr="003C32B2">
        <w:rPr>
          <w:rFonts w:eastAsiaTheme="minorEastAsia" w:cs="Calibri"/>
          <w:i w:val="0"/>
          <w:iCs w:val="0"/>
        </w:rPr>
        <w:t>breaking share markets.</w:t>
      </w:r>
    </w:p>
    <w:p w14:paraId="204169E9" w14:textId="77777777" w:rsidR="00827803" w:rsidRPr="003C32B2" w:rsidRDefault="00827803" w:rsidP="00827803">
      <w:pPr>
        <w:pStyle w:val="ListParagraph"/>
        <w:numPr>
          <w:ilvl w:val="0"/>
          <w:numId w:val="17"/>
        </w:numPr>
        <w:spacing w:before="120" w:after="120"/>
        <w:jc w:val="both"/>
        <w:rPr>
          <w:rFonts w:eastAsiaTheme="minorEastAsia" w:cs="Calibri"/>
          <w:i w:val="0"/>
          <w:iCs w:val="0"/>
        </w:rPr>
      </w:pPr>
      <w:r w:rsidRPr="003C32B2">
        <w:rPr>
          <w:rFonts w:eastAsiaTheme="minorEastAsia" w:cs="Calibri"/>
          <w:i w:val="0"/>
          <w:iCs w:val="0"/>
        </w:rPr>
        <w:t>Share markets continue to be supported by good profit growth for now. Shares everywhere are expensive, buoyed by loose monetary &amp; fiscal policies and a near-certainty that governments will throw 'free'/borrowed money at any problem.</w:t>
      </w:r>
    </w:p>
    <w:p w14:paraId="0888D0E9" w14:textId="694F6DB5" w:rsidR="00827803" w:rsidRPr="003C32B2" w:rsidRDefault="00827803" w:rsidP="00827803">
      <w:pPr>
        <w:pStyle w:val="ListParagraph"/>
        <w:numPr>
          <w:ilvl w:val="0"/>
          <w:numId w:val="17"/>
        </w:numPr>
        <w:spacing w:before="120" w:after="120"/>
        <w:jc w:val="both"/>
        <w:rPr>
          <w:rFonts w:eastAsiaTheme="minorEastAsia" w:cs="Calibri"/>
          <w:i w:val="0"/>
          <w:iCs w:val="0"/>
        </w:rPr>
      </w:pPr>
      <w:r w:rsidRPr="003C32B2">
        <w:rPr>
          <w:rFonts w:eastAsiaTheme="minorEastAsia" w:cs="Calibri"/>
          <w:i w:val="0"/>
          <w:iCs w:val="0"/>
        </w:rPr>
        <w:t>Commodities rally gathering pace</w:t>
      </w:r>
      <w:r w:rsidR="00FA1716" w:rsidRPr="003C32B2">
        <w:rPr>
          <w:rFonts w:eastAsiaTheme="minorEastAsia" w:cs="Calibri"/>
          <w:i w:val="0"/>
          <w:iCs w:val="0"/>
        </w:rPr>
        <w:t xml:space="preserve">, </w:t>
      </w:r>
      <w:r w:rsidRPr="003C32B2">
        <w:rPr>
          <w:rFonts w:eastAsiaTheme="minorEastAsia" w:cs="Calibri"/>
          <w:i w:val="0"/>
          <w:iCs w:val="0"/>
        </w:rPr>
        <w:t>rising demand soaking up oversupply, AI/data centre boom (industrial metals, energy, water, land), global rearmament</w:t>
      </w:r>
      <w:r w:rsidR="002F31AC" w:rsidRPr="003C32B2">
        <w:rPr>
          <w:rFonts w:eastAsiaTheme="minorEastAsia" w:cs="Calibri"/>
          <w:i w:val="0"/>
          <w:iCs w:val="0"/>
        </w:rPr>
        <w:t>,</w:t>
      </w:r>
      <w:r w:rsidRPr="003C32B2">
        <w:rPr>
          <w:rFonts w:eastAsiaTheme="minorEastAsia" w:cs="Calibri"/>
          <w:i w:val="0"/>
          <w:iCs w:val="0"/>
        </w:rPr>
        <w:t xml:space="preserve"> especially Europe, Japan, Canada. This should support the ASX market, </w:t>
      </w:r>
      <w:proofErr w:type="gramStart"/>
      <w:r w:rsidRPr="003C32B2">
        <w:rPr>
          <w:rFonts w:eastAsiaTheme="minorEastAsia" w:cs="Calibri"/>
          <w:i w:val="0"/>
          <w:iCs w:val="0"/>
        </w:rPr>
        <w:t>as long as</w:t>
      </w:r>
      <w:proofErr w:type="gramEnd"/>
      <w:r w:rsidRPr="003C32B2">
        <w:rPr>
          <w:rFonts w:eastAsiaTheme="minorEastAsia" w:cs="Calibri"/>
          <w:i w:val="0"/>
          <w:iCs w:val="0"/>
        </w:rPr>
        <w:t xml:space="preserve"> banks avoid a local recession.</w:t>
      </w:r>
    </w:p>
    <w:p w14:paraId="7EAFE883" w14:textId="77777777" w:rsidR="00827803" w:rsidRPr="00C9457D" w:rsidRDefault="00827803" w:rsidP="00827803">
      <w:pPr>
        <w:jc w:val="both"/>
        <w:rPr>
          <w:sz w:val="16"/>
          <w:szCs w:val="16"/>
          <w:lang w:val="en-US"/>
        </w:rPr>
      </w:pPr>
    </w:p>
    <w:p w14:paraId="3D77DFE7" w14:textId="77777777" w:rsidR="00827803" w:rsidRPr="00C9457D" w:rsidRDefault="00827803" w:rsidP="00827803">
      <w:pPr>
        <w:jc w:val="both"/>
        <w:rPr>
          <w:sz w:val="16"/>
          <w:szCs w:val="16"/>
          <w:lang w:val="en-US"/>
        </w:rPr>
        <w:sectPr w:rsidR="00827803" w:rsidRPr="00C9457D" w:rsidSect="00827803">
          <w:headerReference w:type="default" r:id="rId16"/>
          <w:footerReference w:type="default" r:id="rId17"/>
          <w:type w:val="continuous"/>
          <w:pgSz w:w="11906" w:h="16838" w:code="9"/>
          <w:pgMar w:top="2948" w:right="1440" w:bottom="2041" w:left="1440" w:header="1021" w:footer="709" w:gutter="0"/>
          <w:cols w:space="708"/>
          <w:docGrid w:linePitch="360"/>
        </w:sectPr>
      </w:pPr>
    </w:p>
    <w:p w14:paraId="7495E311" w14:textId="6041AF5C" w:rsidR="00A05879" w:rsidRPr="00C9457D" w:rsidRDefault="00A05879" w:rsidP="00A05879">
      <w:pPr>
        <w:spacing w:after="0"/>
        <w:rPr>
          <w:b/>
          <w:bCs/>
          <w:sz w:val="16"/>
          <w:szCs w:val="16"/>
          <w:lang w:val="en-US"/>
        </w:rPr>
      </w:pPr>
      <w:r w:rsidRPr="00C9457D">
        <w:rPr>
          <w:b/>
          <w:bCs/>
          <w:sz w:val="16"/>
          <w:szCs w:val="16"/>
          <w:lang w:val="en-US"/>
        </w:rPr>
        <w:t>Footnote</w:t>
      </w:r>
    </w:p>
    <w:p w14:paraId="5338CDBD" w14:textId="5E8D2A45" w:rsidR="00827803" w:rsidRPr="008B6EA9" w:rsidRDefault="00827803" w:rsidP="00A05879">
      <w:pPr>
        <w:spacing w:before="0"/>
        <w:rPr>
          <w:sz w:val="16"/>
          <w:szCs w:val="16"/>
          <w:lang w:val="en-US"/>
        </w:rPr>
        <w:sectPr w:rsidR="00827803" w:rsidRPr="008B6EA9" w:rsidSect="00827803">
          <w:headerReference w:type="default" r:id="rId18"/>
          <w:footerReference w:type="default" r:id="rId19"/>
          <w:type w:val="continuous"/>
          <w:pgSz w:w="11906" w:h="16838" w:code="9"/>
          <w:pgMar w:top="2948" w:right="1440" w:bottom="2041" w:left="1440" w:header="1021" w:footer="709" w:gutter="0"/>
          <w:cols w:space="708"/>
          <w:docGrid w:linePitch="360"/>
        </w:sectPr>
      </w:pPr>
      <w:r w:rsidRPr="00C9457D">
        <w:rPr>
          <w:sz w:val="16"/>
          <w:szCs w:val="16"/>
          <w:lang w:val="en-US"/>
        </w:rPr>
        <w:t>This</w:t>
      </w:r>
      <w:r w:rsidR="008B6EA9" w:rsidRPr="00C9457D">
        <w:rPr>
          <w:sz w:val="16"/>
          <w:szCs w:val="16"/>
          <w:lang w:val="en-US"/>
        </w:rPr>
        <w:t xml:space="preserve"> market update is written by Atlas Funds Management Pty Ltd for and on behalf of HNW Planning on </w:t>
      </w:r>
      <w:r w:rsidR="008B6EA9" w:rsidRPr="00C9457D">
        <w:rPr>
          <w:sz w:val="16"/>
          <w:szCs w:val="16"/>
          <w:lang w:val="en-US"/>
        </w:rPr>
        <w:fldChar w:fldCharType="begin"/>
      </w:r>
      <w:r w:rsidR="008B6EA9" w:rsidRPr="00C9457D">
        <w:rPr>
          <w:sz w:val="16"/>
          <w:szCs w:val="16"/>
          <w:lang w:val="en-US"/>
        </w:rPr>
        <w:instrText xml:space="preserve"> DATE  \@ "d MMMM yyyy" </w:instrText>
      </w:r>
      <w:r w:rsidR="008B6EA9" w:rsidRPr="00C9457D">
        <w:rPr>
          <w:sz w:val="16"/>
          <w:szCs w:val="16"/>
          <w:lang w:val="en-US"/>
        </w:rPr>
        <w:fldChar w:fldCharType="separate"/>
      </w:r>
      <w:r w:rsidR="005B416E">
        <w:rPr>
          <w:noProof/>
          <w:sz w:val="16"/>
          <w:szCs w:val="16"/>
          <w:lang w:val="en-US"/>
        </w:rPr>
        <w:t>17 September 2026</w:t>
      </w:r>
      <w:r w:rsidR="008B6EA9" w:rsidRPr="00C9457D">
        <w:rPr>
          <w:sz w:val="16"/>
          <w:szCs w:val="16"/>
          <w:lang w:val="en-US"/>
        </w:rPr>
        <w:fldChar w:fldCharType="end"/>
      </w:r>
      <w:r w:rsidR="008B6EA9" w:rsidRPr="00C9457D">
        <w:rPr>
          <w:sz w:val="16"/>
          <w:szCs w:val="16"/>
          <w:lang w:val="en-US"/>
        </w:rPr>
        <w:t xml:space="preserve">. </w:t>
      </w:r>
      <w:r w:rsidRPr="00C9457D">
        <w:rPr>
          <w:sz w:val="16"/>
          <w:szCs w:val="16"/>
          <w:lang w:val="en-US"/>
        </w:rPr>
        <w:t xml:space="preserve">Atlas Funds Management </w:t>
      </w:r>
      <w:r w:rsidR="00211170" w:rsidRPr="00C9457D">
        <w:rPr>
          <w:sz w:val="16"/>
          <w:szCs w:val="16"/>
          <w:lang w:val="en-US"/>
        </w:rPr>
        <w:t xml:space="preserve">is an external asset consultant and consults </w:t>
      </w:r>
      <w:proofErr w:type="gramStart"/>
      <w:r w:rsidR="00211170" w:rsidRPr="00C9457D">
        <w:rPr>
          <w:sz w:val="16"/>
          <w:szCs w:val="16"/>
          <w:lang w:val="en-US"/>
        </w:rPr>
        <w:t>to</w:t>
      </w:r>
      <w:proofErr w:type="gramEnd"/>
      <w:r w:rsidR="00211170" w:rsidRPr="00C9457D">
        <w:rPr>
          <w:sz w:val="16"/>
          <w:szCs w:val="16"/>
          <w:lang w:val="en-US"/>
        </w:rPr>
        <w:t xml:space="preserve"> the HNW Investment Committee. Atlas Funds Management </w:t>
      </w:r>
      <w:r w:rsidRPr="00C9457D">
        <w:rPr>
          <w:sz w:val="16"/>
          <w:szCs w:val="16"/>
          <w:lang w:val="en-US"/>
        </w:rPr>
        <w:t xml:space="preserve">does not provide any general advice or personal advice regarding any potential investment in any financial products within the meaning of section 766B of the Corporations Act. No consideration has been made of any specific person's investment objectives, financial situation or needs. The provision of this presentation is not and should not be considered as a recommendation in relation to an investment in any entity or that an investment in any entity is a suitable investment for any specific person. Recipients should make their own enquiries and evaluations they consider appropriate to determine the suitability of any investment (including their investment objectives, financial situation, and particular needs) and should seek all necessary financial, legal, tax and investment advice. Atlas Funds Management Pty Ltd, </w:t>
      </w:r>
      <w:proofErr w:type="gramStart"/>
      <w:r w:rsidRPr="00C9457D">
        <w:rPr>
          <w:sz w:val="16"/>
          <w:szCs w:val="16"/>
          <w:lang w:val="en-US"/>
        </w:rPr>
        <w:t>it's</w:t>
      </w:r>
      <w:proofErr w:type="gramEnd"/>
      <w:r w:rsidRPr="00C9457D">
        <w:rPr>
          <w:sz w:val="16"/>
          <w:szCs w:val="16"/>
          <w:lang w:val="en-US"/>
        </w:rPr>
        <w:t xml:space="preserve"> directors and </w:t>
      </w:r>
      <w:proofErr w:type="gramStart"/>
      <w:r w:rsidRPr="00C9457D">
        <w:rPr>
          <w:sz w:val="16"/>
          <w:szCs w:val="16"/>
          <w:lang w:val="en-US"/>
        </w:rPr>
        <w:t>employees</w:t>
      </w:r>
      <w:proofErr w:type="gramEnd"/>
      <w:r w:rsidRPr="00C9457D">
        <w:rPr>
          <w:sz w:val="16"/>
          <w:szCs w:val="16"/>
          <w:lang w:val="en-US"/>
        </w:rPr>
        <w:t xml:space="preserve"> do not accept any liability for the results of any actions taken or not taken </w:t>
      </w:r>
      <w:proofErr w:type="gramStart"/>
      <w:r w:rsidRPr="00C9457D">
        <w:rPr>
          <w:sz w:val="16"/>
          <w:szCs w:val="16"/>
          <w:lang w:val="en-US"/>
        </w:rPr>
        <w:t>on the basis of</w:t>
      </w:r>
      <w:proofErr w:type="gramEnd"/>
      <w:r w:rsidRPr="00C9457D">
        <w:rPr>
          <w:sz w:val="16"/>
          <w:szCs w:val="16"/>
          <w:lang w:val="en-US"/>
        </w:rPr>
        <w:t xml:space="preserve"> information in this presentation, or for any negligent misstatements, errors or omissions. This presentation is not an advertisement and is not intended for public use or distribution. Past performance of a fund is no guarantee of its future performance.</w:t>
      </w:r>
      <w:r w:rsidRPr="00827803">
        <w:rPr>
          <w:sz w:val="16"/>
          <w:szCs w:val="16"/>
          <w:lang w:val="en-US"/>
        </w:rPr>
        <w:t xml:space="preserve"> </w:t>
      </w:r>
    </w:p>
    <w:p w14:paraId="39B7CFB1" w14:textId="77777777" w:rsidR="00827803" w:rsidRDefault="00827803" w:rsidP="007152C2">
      <w:pPr>
        <w:spacing w:before="120" w:after="120"/>
        <w:jc w:val="both"/>
        <w:rPr>
          <w:rFonts w:ascii="Calibri" w:hAnsi="Calibri" w:cs="Calibri"/>
          <w:b/>
          <w:bCs/>
        </w:rPr>
      </w:pPr>
    </w:p>
    <w:p w14:paraId="44D9F2D7" w14:textId="77777777" w:rsidR="008B6EA9" w:rsidRPr="00A75BED" w:rsidRDefault="008B6EA9" w:rsidP="007152C2">
      <w:pPr>
        <w:spacing w:before="120" w:after="120"/>
        <w:jc w:val="both"/>
        <w:rPr>
          <w:rFonts w:ascii="Calibri" w:hAnsi="Calibri" w:cs="Calibri"/>
          <w:b/>
          <w:bCs/>
        </w:rPr>
      </w:pPr>
    </w:p>
    <w:bookmarkEnd w:id="0"/>
    <w:p w14:paraId="015C567E" w14:textId="77777777" w:rsidR="00827803" w:rsidRPr="003352E4" w:rsidRDefault="00827803">
      <w:pPr>
        <w:jc w:val="both"/>
        <w:rPr>
          <w:sz w:val="16"/>
          <w:szCs w:val="16"/>
        </w:rPr>
      </w:pPr>
    </w:p>
    <w:sectPr w:rsidR="00827803" w:rsidRPr="003352E4" w:rsidSect="00CC39D1">
      <w:type w:val="continuous"/>
      <w:pgSz w:w="11906" w:h="16838" w:code="9"/>
      <w:pgMar w:top="2948" w:right="1440" w:bottom="2041" w:left="1440" w:header="1021"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ED564" w14:textId="77777777" w:rsidR="00450853" w:rsidRDefault="00450853" w:rsidP="00EB28A8">
      <w:pPr>
        <w:spacing w:after="0" w:line="240" w:lineRule="auto"/>
      </w:pPr>
      <w:r>
        <w:separator/>
      </w:r>
    </w:p>
  </w:endnote>
  <w:endnote w:type="continuationSeparator" w:id="0">
    <w:p w14:paraId="768A954F" w14:textId="77777777" w:rsidR="00450853" w:rsidRDefault="00450853" w:rsidP="00EB2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rajan">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97605"/>
      <w:docPartObj>
        <w:docPartGallery w:val="Page Numbers (Bottom of Page)"/>
        <w:docPartUnique/>
      </w:docPartObj>
    </w:sdtPr>
    <w:sdtEndPr>
      <w:rPr>
        <w:color w:val="7F7F7F" w:themeColor="background1" w:themeShade="7F"/>
        <w:spacing w:val="60"/>
      </w:rPr>
    </w:sdtEndPr>
    <w:sdtContent>
      <w:p w14:paraId="51C8A34D" w14:textId="77777777" w:rsidR="00827803" w:rsidRDefault="0082780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92D9FE9" w14:textId="77777777" w:rsidR="00827803" w:rsidRDefault="00827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412822"/>
      <w:docPartObj>
        <w:docPartGallery w:val="Page Numbers (Bottom of Page)"/>
        <w:docPartUnique/>
      </w:docPartObj>
    </w:sdtPr>
    <w:sdtEndPr>
      <w:rPr>
        <w:color w:val="7F7F7F" w:themeColor="background1" w:themeShade="7F"/>
        <w:spacing w:val="60"/>
      </w:rPr>
    </w:sdtEndPr>
    <w:sdtContent>
      <w:p w14:paraId="50F119D0" w14:textId="1E7453DC" w:rsidR="00113FD7" w:rsidRDefault="00113FD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F466587" w14:textId="77777777" w:rsidR="00113FD7" w:rsidRDefault="00113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CD74F" w14:textId="77777777" w:rsidR="00450853" w:rsidRDefault="00450853" w:rsidP="00EB28A8">
      <w:pPr>
        <w:spacing w:after="0" w:line="240" w:lineRule="auto"/>
      </w:pPr>
      <w:r>
        <w:separator/>
      </w:r>
    </w:p>
  </w:footnote>
  <w:footnote w:type="continuationSeparator" w:id="0">
    <w:p w14:paraId="03299BFB" w14:textId="77777777" w:rsidR="00450853" w:rsidRDefault="00450853" w:rsidP="00EB2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4291" w14:textId="77777777" w:rsidR="00827803" w:rsidRDefault="00827803">
    <w:pPr>
      <w:pStyle w:val="Header"/>
    </w:pPr>
    <w:r>
      <w:rPr>
        <w:noProof/>
      </w:rPr>
      <w:drawing>
        <wp:inline distT="0" distB="0" distL="0" distR="0" wp14:anchorId="4D881DEC" wp14:editId="79F0D1A7">
          <wp:extent cx="1466512" cy="797903"/>
          <wp:effectExtent l="0" t="0" r="635" b="2540"/>
          <wp:docPr id="1155882799" name="Picture 3" descr="HNW Nexus – Empowering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W Nexus – Empowering 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45" cy="81190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686F" w14:textId="7C9EF7EE" w:rsidR="002F0DCB" w:rsidRDefault="00F6465E">
    <w:pPr>
      <w:pStyle w:val="Header"/>
    </w:pPr>
    <w:r>
      <w:rPr>
        <w:noProof/>
      </w:rPr>
      <w:drawing>
        <wp:inline distT="0" distB="0" distL="0" distR="0" wp14:anchorId="0C0EE491" wp14:editId="1DFE4FE1">
          <wp:extent cx="1466512" cy="797903"/>
          <wp:effectExtent l="0" t="0" r="635" b="2540"/>
          <wp:docPr id="1561300269" name="Picture 3" descr="HNW Nexus – Empowering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W Nexus – Empowering 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45" cy="8119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28E0880"/>
    <w:lvl w:ilvl="0">
      <w:start w:val="1"/>
      <w:numFmt w:val="lowerLetter"/>
      <w:pStyle w:val="ListNumber2"/>
      <w:lvlText w:val="%1)"/>
      <w:lvlJc w:val="left"/>
      <w:pPr>
        <w:ind w:left="643" w:hanging="360"/>
      </w:pPr>
    </w:lvl>
  </w:abstractNum>
  <w:abstractNum w:abstractNumId="1" w15:restartNumberingAfterBreak="0">
    <w:nsid w:val="FFFFFF83"/>
    <w:multiLevelType w:val="singleLevel"/>
    <w:tmpl w:val="E5C40D38"/>
    <w:lvl w:ilvl="0">
      <w:start w:val="1"/>
      <w:numFmt w:val="bullet"/>
      <w:pStyle w:val="ListBullet2"/>
      <w:lvlText w:val="–"/>
      <w:lvlJc w:val="left"/>
      <w:pPr>
        <w:ind w:left="643" w:hanging="360"/>
      </w:pPr>
      <w:rPr>
        <w:rFonts w:ascii="Calibri" w:hAnsi="Calibri" w:hint="default"/>
      </w:rPr>
    </w:lvl>
  </w:abstractNum>
  <w:abstractNum w:abstractNumId="2" w15:restartNumberingAfterBreak="0">
    <w:nsid w:val="FFFFFF88"/>
    <w:multiLevelType w:val="singleLevel"/>
    <w:tmpl w:val="E46CB6F2"/>
    <w:lvl w:ilvl="0">
      <w:start w:val="1"/>
      <w:numFmt w:val="decimal"/>
      <w:pStyle w:val="ListNumber"/>
      <w:lvlText w:val="%1."/>
      <w:lvlJc w:val="left"/>
      <w:pPr>
        <w:ind w:left="360" w:hanging="360"/>
      </w:pPr>
      <w:rPr>
        <w:rFonts w:hint="default"/>
        <w:b/>
        <w:i w:val="0"/>
      </w:rPr>
    </w:lvl>
  </w:abstractNum>
  <w:abstractNum w:abstractNumId="3" w15:restartNumberingAfterBreak="0">
    <w:nsid w:val="FFFFFF89"/>
    <w:multiLevelType w:val="singleLevel"/>
    <w:tmpl w:val="CAFCA22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7EC2848"/>
    <w:multiLevelType w:val="multilevel"/>
    <w:tmpl w:val="0476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F083B"/>
    <w:multiLevelType w:val="hybridMultilevel"/>
    <w:tmpl w:val="FFDAE3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A9F2A3D"/>
    <w:multiLevelType w:val="hybridMultilevel"/>
    <w:tmpl w:val="8F68F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78F4F47"/>
    <w:multiLevelType w:val="hybridMultilevel"/>
    <w:tmpl w:val="350EB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006297"/>
    <w:multiLevelType w:val="hybridMultilevel"/>
    <w:tmpl w:val="F8A0A784"/>
    <w:lvl w:ilvl="0" w:tplc="1820F324">
      <w:numFmt w:val="bullet"/>
      <w:lvlText w:val="•"/>
      <w:lvlJc w:val="left"/>
      <w:pPr>
        <w:ind w:left="360" w:hanging="360"/>
      </w:pPr>
      <w:rPr>
        <w:rFonts w:ascii="Calibri" w:eastAsiaTheme="minorEastAsia" w:hAnsi="Calibri" w:cs="Calibri" w:hint="default"/>
        <w:i w:val="0"/>
        <w:color w:val="414042" w:themeColor="text1"/>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517A17"/>
    <w:multiLevelType w:val="hybridMultilevel"/>
    <w:tmpl w:val="4E603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96608F"/>
    <w:multiLevelType w:val="hybridMultilevel"/>
    <w:tmpl w:val="125A7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310B66"/>
    <w:multiLevelType w:val="multilevel"/>
    <w:tmpl w:val="FA40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139DE"/>
    <w:multiLevelType w:val="hybridMultilevel"/>
    <w:tmpl w:val="841EF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7122E26"/>
    <w:multiLevelType w:val="multilevel"/>
    <w:tmpl w:val="AE48833A"/>
    <w:lvl w:ilvl="0">
      <w:start w:val="1"/>
      <w:numFmt w:val="decimal"/>
      <w:lvlText w:val="%1"/>
      <w:lvlJc w:val="left"/>
      <w:pPr>
        <w:ind w:left="432" w:hanging="432"/>
      </w:pPr>
      <w:rPr>
        <w:color w:val="auto"/>
        <w:sz w:val="24"/>
      </w:rPr>
    </w:lvl>
    <w:lvl w:ilvl="1">
      <w:start w:val="1"/>
      <w:numFmt w:val="decimal"/>
      <w:pStyle w:val="Heading5"/>
      <w:lvlText w:val="%1.%2"/>
      <w:lvlJc w:val="left"/>
      <w:pPr>
        <w:ind w:left="576" w:hanging="576"/>
      </w:pPr>
    </w:lvl>
    <w:lvl w:ilvl="2">
      <w:start w:val="1"/>
      <w:numFmt w:val="decimal"/>
      <w:pStyle w:val="Heading6"/>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7500434"/>
    <w:multiLevelType w:val="hybridMultilevel"/>
    <w:tmpl w:val="F814A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E26C13"/>
    <w:multiLevelType w:val="hybridMultilevel"/>
    <w:tmpl w:val="B13A6E3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56B51B52"/>
    <w:multiLevelType w:val="multilevel"/>
    <w:tmpl w:val="C2AA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B040E6"/>
    <w:multiLevelType w:val="hybridMultilevel"/>
    <w:tmpl w:val="59CC49E4"/>
    <w:lvl w:ilvl="0" w:tplc="1820F324">
      <w:numFmt w:val="bullet"/>
      <w:lvlText w:val="•"/>
      <w:lvlJc w:val="left"/>
      <w:pPr>
        <w:ind w:left="720" w:hanging="360"/>
      </w:pPr>
      <w:rPr>
        <w:rFonts w:ascii="Calibri" w:eastAsiaTheme="minorEastAsia" w:hAnsi="Calibri" w:cs="Calibri" w:hint="default"/>
        <w:i w:val="0"/>
        <w:color w:val="414042" w:themeColor="text1"/>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8160214">
    <w:abstractNumId w:val="13"/>
  </w:num>
  <w:num w:numId="2" w16cid:durableId="1643658398">
    <w:abstractNumId w:val="3"/>
  </w:num>
  <w:num w:numId="3" w16cid:durableId="84688565">
    <w:abstractNumId w:val="1"/>
  </w:num>
  <w:num w:numId="4" w16cid:durableId="708146902">
    <w:abstractNumId w:val="2"/>
  </w:num>
  <w:num w:numId="5" w16cid:durableId="1993243837">
    <w:abstractNumId w:val="0"/>
  </w:num>
  <w:num w:numId="6" w16cid:durableId="430129513">
    <w:abstractNumId w:val="6"/>
  </w:num>
  <w:num w:numId="7" w16cid:durableId="638262864">
    <w:abstractNumId w:val="14"/>
  </w:num>
  <w:num w:numId="8" w16cid:durableId="1542089249">
    <w:abstractNumId w:val="15"/>
  </w:num>
  <w:num w:numId="9" w16cid:durableId="562182118">
    <w:abstractNumId w:val="10"/>
  </w:num>
  <w:num w:numId="10" w16cid:durableId="1842425709">
    <w:abstractNumId w:val="7"/>
  </w:num>
  <w:num w:numId="11" w16cid:durableId="1240560744">
    <w:abstractNumId w:val="5"/>
  </w:num>
  <w:num w:numId="12" w16cid:durableId="1191722889">
    <w:abstractNumId w:val="9"/>
  </w:num>
  <w:num w:numId="13" w16cid:durableId="1710059680">
    <w:abstractNumId w:val="17"/>
  </w:num>
  <w:num w:numId="14" w16cid:durableId="546839574">
    <w:abstractNumId w:val="8"/>
  </w:num>
  <w:num w:numId="15" w16cid:durableId="1492258336">
    <w:abstractNumId w:val="11"/>
  </w:num>
  <w:num w:numId="16" w16cid:durableId="1391618078">
    <w:abstractNumId w:val="16"/>
  </w:num>
  <w:num w:numId="17" w16cid:durableId="495656986">
    <w:abstractNumId w:val="12"/>
  </w:num>
  <w:num w:numId="18" w16cid:durableId="18120922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HNWTable0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UzMzcxMTQ2tbA0NTRR0lEKTi0uzszPAymwrAUA2dzA0ywAAAA="/>
  </w:docVars>
  <w:rsids>
    <w:rsidRoot w:val="00481A71"/>
    <w:rsid w:val="00000268"/>
    <w:rsid w:val="000006BC"/>
    <w:rsid w:val="00001072"/>
    <w:rsid w:val="00001213"/>
    <w:rsid w:val="000017A1"/>
    <w:rsid w:val="00001F8C"/>
    <w:rsid w:val="00003266"/>
    <w:rsid w:val="000035CC"/>
    <w:rsid w:val="00004613"/>
    <w:rsid w:val="00004F45"/>
    <w:rsid w:val="00005474"/>
    <w:rsid w:val="00006CCB"/>
    <w:rsid w:val="0000721F"/>
    <w:rsid w:val="000072B0"/>
    <w:rsid w:val="000073D1"/>
    <w:rsid w:val="00010B1D"/>
    <w:rsid w:val="00011244"/>
    <w:rsid w:val="00011328"/>
    <w:rsid w:val="00011A16"/>
    <w:rsid w:val="00012004"/>
    <w:rsid w:val="00012007"/>
    <w:rsid w:val="00012BF9"/>
    <w:rsid w:val="0001508D"/>
    <w:rsid w:val="0001535B"/>
    <w:rsid w:val="00015597"/>
    <w:rsid w:val="00016329"/>
    <w:rsid w:val="000163D4"/>
    <w:rsid w:val="00016E85"/>
    <w:rsid w:val="0001721E"/>
    <w:rsid w:val="000176D2"/>
    <w:rsid w:val="00017812"/>
    <w:rsid w:val="00017B34"/>
    <w:rsid w:val="00017E15"/>
    <w:rsid w:val="00017E69"/>
    <w:rsid w:val="0002084E"/>
    <w:rsid w:val="000218F1"/>
    <w:rsid w:val="0002201B"/>
    <w:rsid w:val="0002241D"/>
    <w:rsid w:val="00022971"/>
    <w:rsid w:val="00023EB5"/>
    <w:rsid w:val="00024249"/>
    <w:rsid w:val="0002488F"/>
    <w:rsid w:val="00025089"/>
    <w:rsid w:val="000256B8"/>
    <w:rsid w:val="00026C58"/>
    <w:rsid w:val="0002765E"/>
    <w:rsid w:val="0002791C"/>
    <w:rsid w:val="000300E5"/>
    <w:rsid w:val="00030405"/>
    <w:rsid w:val="00030F8D"/>
    <w:rsid w:val="000310AB"/>
    <w:rsid w:val="0003150F"/>
    <w:rsid w:val="00031BF2"/>
    <w:rsid w:val="00033EA8"/>
    <w:rsid w:val="00034014"/>
    <w:rsid w:val="000341D2"/>
    <w:rsid w:val="000357BE"/>
    <w:rsid w:val="00036039"/>
    <w:rsid w:val="00036D85"/>
    <w:rsid w:val="00036FDA"/>
    <w:rsid w:val="00037046"/>
    <w:rsid w:val="000375F8"/>
    <w:rsid w:val="00037BFE"/>
    <w:rsid w:val="000400CD"/>
    <w:rsid w:val="00040BEC"/>
    <w:rsid w:val="00040E36"/>
    <w:rsid w:val="0004117C"/>
    <w:rsid w:val="00041762"/>
    <w:rsid w:val="00042755"/>
    <w:rsid w:val="0004442A"/>
    <w:rsid w:val="00044C7F"/>
    <w:rsid w:val="00045650"/>
    <w:rsid w:val="000458E9"/>
    <w:rsid w:val="00045C20"/>
    <w:rsid w:val="00046301"/>
    <w:rsid w:val="00046589"/>
    <w:rsid w:val="00046840"/>
    <w:rsid w:val="00046899"/>
    <w:rsid w:val="00046901"/>
    <w:rsid w:val="00047941"/>
    <w:rsid w:val="00050628"/>
    <w:rsid w:val="0005073D"/>
    <w:rsid w:val="00050A18"/>
    <w:rsid w:val="00051004"/>
    <w:rsid w:val="00051397"/>
    <w:rsid w:val="00051451"/>
    <w:rsid w:val="000530FF"/>
    <w:rsid w:val="000533DB"/>
    <w:rsid w:val="00053887"/>
    <w:rsid w:val="00054BDB"/>
    <w:rsid w:val="000558CB"/>
    <w:rsid w:val="00055D2C"/>
    <w:rsid w:val="00055F78"/>
    <w:rsid w:val="000566FA"/>
    <w:rsid w:val="0005674F"/>
    <w:rsid w:val="00056D53"/>
    <w:rsid w:val="0005797F"/>
    <w:rsid w:val="000606FB"/>
    <w:rsid w:val="00060AB6"/>
    <w:rsid w:val="00060CE2"/>
    <w:rsid w:val="00061657"/>
    <w:rsid w:val="00062337"/>
    <w:rsid w:val="00062BED"/>
    <w:rsid w:val="00063F3C"/>
    <w:rsid w:val="000653A6"/>
    <w:rsid w:val="000654D6"/>
    <w:rsid w:val="000656B2"/>
    <w:rsid w:val="00066C19"/>
    <w:rsid w:val="00066E8A"/>
    <w:rsid w:val="00067753"/>
    <w:rsid w:val="000678BF"/>
    <w:rsid w:val="000678F3"/>
    <w:rsid w:val="00070E5E"/>
    <w:rsid w:val="00071486"/>
    <w:rsid w:val="000724C9"/>
    <w:rsid w:val="00072B77"/>
    <w:rsid w:val="000732D1"/>
    <w:rsid w:val="000732F1"/>
    <w:rsid w:val="00074692"/>
    <w:rsid w:val="000749F7"/>
    <w:rsid w:val="00074A1A"/>
    <w:rsid w:val="000751E0"/>
    <w:rsid w:val="00075A04"/>
    <w:rsid w:val="00076007"/>
    <w:rsid w:val="000760AB"/>
    <w:rsid w:val="000762D7"/>
    <w:rsid w:val="000764FC"/>
    <w:rsid w:val="00076FD3"/>
    <w:rsid w:val="000774B5"/>
    <w:rsid w:val="000776CD"/>
    <w:rsid w:val="00077B36"/>
    <w:rsid w:val="00077BE9"/>
    <w:rsid w:val="00080677"/>
    <w:rsid w:val="00080EAF"/>
    <w:rsid w:val="00082606"/>
    <w:rsid w:val="000829B5"/>
    <w:rsid w:val="00082AC2"/>
    <w:rsid w:val="00083188"/>
    <w:rsid w:val="000832DC"/>
    <w:rsid w:val="00083932"/>
    <w:rsid w:val="000839D7"/>
    <w:rsid w:val="00083A84"/>
    <w:rsid w:val="00084298"/>
    <w:rsid w:val="00084388"/>
    <w:rsid w:val="000848E7"/>
    <w:rsid w:val="00084D8F"/>
    <w:rsid w:val="00084E22"/>
    <w:rsid w:val="0008591E"/>
    <w:rsid w:val="0008698B"/>
    <w:rsid w:val="0008740E"/>
    <w:rsid w:val="00090149"/>
    <w:rsid w:val="00090298"/>
    <w:rsid w:val="0009096E"/>
    <w:rsid w:val="00090E25"/>
    <w:rsid w:val="00091262"/>
    <w:rsid w:val="00092611"/>
    <w:rsid w:val="00092751"/>
    <w:rsid w:val="00094875"/>
    <w:rsid w:val="00095523"/>
    <w:rsid w:val="00095963"/>
    <w:rsid w:val="00095BDA"/>
    <w:rsid w:val="00095CB8"/>
    <w:rsid w:val="0009606F"/>
    <w:rsid w:val="00096323"/>
    <w:rsid w:val="00096979"/>
    <w:rsid w:val="00097243"/>
    <w:rsid w:val="000A032D"/>
    <w:rsid w:val="000A08BF"/>
    <w:rsid w:val="000A1A15"/>
    <w:rsid w:val="000A1C7B"/>
    <w:rsid w:val="000A1FDF"/>
    <w:rsid w:val="000A26DE"/>
    <w:rsid w:val="000A3377"/>
    <w:rsid w:val="000A36E7"/>
    <w:rsid w:val="000A3B2A"/>
    <w:rsid w:val="000A5F08"/>
    <w:rsid w:val="000A6FC0"/>
    <w:rsid w:val="000A7096"/>
    <w:rsid w:val="000A7345"/>
    <w:rsid w:val="000A7689"/>
    <w:rsid w:val="000A7727"/>
    <w:rsid w:val="000A7AA8"/>
    <w:rsid w:val="000A7ACA"/>
    <w:rsid w:val="000B03C8"/>
    <w:rsid w:val="000B053B"/>
    <w:rsid w:val="000B0749"/>
    <w:rsid w:val="000B0DED"/>
    <w:rsid w:val="000B12C5"/>
    <w:rsid w:val="000B1350"/>
    <w:rsid w:val="000B196F"/>
    <w:rsid w:val="000B1CC6"/>
    <w:rsid w:val="000B2129"/>
    <w:rsid w:val="000B269D"/>
    <w:rsid w:val="000B2E0E"/>
    <w:rsid w:val="000B3E00"/>
    <w:rsid w:val="000B4170"/>
    <w:rsid w:val="000B4202"/>
    <w:rsid w:val="000B4548"/>
    <w:rsid w:val="000B4975"/>
    <w:rsid w:val="000B5326"/>
    <w:rsid w:val="000B61C1"/>
    <w:rsid w:val="000B6FDD"/>
    <w:rsid w:val="000B7DF9"/>
    <w:rsid w:val="000B7FFA"/>
    <w:rsid w:val="000C04DA"/>
    <w:rsid w:val="000C0E73"/>
    <w:rsid w:val="000C0FBA"/>
    <w:rsid w:val="000C13E2"/>
    <w:rsid w:val="000C3188"/>
    <w:rsid w:val="000C3A04"/>
    <w:rsid w:val="000C3E55"/>
    <w:rsid w:val="000C47EA"/>
    <w:rsid w:val="000C548B"/>
    <w:rsid w:val="000C58C1"/>
    <w:rsid w:val="000C5E95"/>
    <w:rsid w:val="000C6F24"/>
    <w:rsid w:val="000C70D2"/>
    <w:rsid w:val="000C7672"/>
    <w:rsid w:val="000C7D22"/>
    <w:rsid w:val="000D016A"/>
    <w:rsid w:val="000D24CD"/>
    <w:rsid w:val="000D273A"/>
    <w:rsid w:val="000D2914"/>
    <w:rsid w:val="000D2BE8"/>
    <w:rsid w:val="000D2EF0"/>
    <w:rsid w:val="000D3366"/>
    <w:rsid w:val="000D4328"/>
    <w:rsid w:val="000D44BE"/>
    <w:rsid w:val="000D4A42"/>
    <w:rsid w:val="000D4ED4"/>
    <w:rsid w:val="000D513F"/>
    <w:rsid w:val="000D5813"/>
    <w:rsid w:val="000D5AC5"/>
    <w:rsid w:val="000D5E2E"/>
    <w:rsid w:val="000D6EE9"/>
    <w:rsid w:val="000E06E1"/>
    <w:rsid w:val="000E2092"/>
    <w:rsid w:val="000E2540"/>
    <w:rsid w:val="000E29B2"/>
    <w:rsid w:val="000E2E4B"/>
    <w:rsid w:val="000E3302"/>
    <w:rsid w:val="000E3566"/>
    <w:rsid w:val="000E3D09"/>
    <w:rsid w:val="000E45E4"/>
    <w:rsid w:val="000E4E30"/>
    <w:rsid w:val="000E52C4"/>
    <w:rsid w:val="000E5B37"/>
    <w:rsid w:val="000E6C72"/>
    <w:rsid w:val="000E7704"/>
    <w:rsid w:val="000F133D"/>
    <w:rsid w:val="000F150B"/>
    <w:rsid w:val="000F2053"/>
    <w:rsid w:val="000F2A21"/>
    <w:rsid w:val="000F2A98"/>
    <w:rsid w:val="000F4907"/>
    <w:rsid w:val="000F52AB"/>
    <w:rsid w:val="000F5F52"/>
    <w:rsid w:val="000F60F5"/>
    <w:rsid w:val="000F626C"/>
    <w:rsid w:val="000F6842"/>
    <w:rsid w:val="000F725D"/>
    <w:rsid w:val="000F734B"/>
    <w:rsid w:val="000F7387"/>
    <w:rsid w:val="000F75CE"/>
    <w:rsid w:val="000F7783"/>
    <w:rsid w:val="000F7BDA"/>
    <w:rsid w:val="0010043C"/>
    <w:rsid w:val="00101936"/>
    <w:rsid w:val="00102BB3"/>
    <w:rsid w:val="00102BB6"/>
    <w:rsid w:val="00102E4C"/>
    <w:rsid w:val="0010573F"/>
    <w:rsid w:val="00105BCC"/>
    <w:rsid w:val="00105FA6"/>
    <w:rsid w:val="001066CC"/>
    <w:rsid w:val="00107049"/>
    <w:rsid w:val="0010706A"/>
    <w:rsid w:val="00107166"/>
    <w:rsid w:val="001073CA"/>
    <w:rsid w:val="00107972"/>
    <w:rsid w:val="00107D5C"/>
    <w:rsid w:val="0011089D"/>
    <w:rsid w:val="00110DCC"/>
    <w:rsid w:val="00110DCD"/>
    <w:rsid w:val="001112B5"/>
    <w:rsid w:val="00111526"/>
    <w:rsid w:val="00111862"/>
    <w:rsid w:val="00111AF6"/>
    <w:rsid w:val="00111F8D"/>
    <w:rsid w:val="001129D6"/>
    <w:rsid w:val="00112AC6"/>
    <w:rsid w:val="00113422"/>
    <w:rsid w:val="00113FD7"/>
    <w:rsid w:val="00114105"/>
    <w:rsid w:val="0011425F"/>
    <w:rsid w:val="001147D8"/>
    <w:rsid w:val="00114A2E"/>
    <w:rsid w:val="00114FC3"/>
    <w:rsid w:val="00115049"/>
    <w:rsid w:val="00115DDA"/>
    <w:rsid w:val="00115EEE"/>
    <w:rsid w:val="00115FEC"/>
    <w:rsid w:val="001163C3"/>
    <w:rsid w:val="0011715A"/>
    <w:rsid w:val="00117C94"/>
    <w:rsid w:val="00120449"/>
    <w:rsid w:val="001207D3"/>
    <w:rsid w:val="001218BF"/>
    <w:rsid w:val="00122C58"/>
    <w:rsid w:val="00122E58"/>
    <w:rsid w:val="0012379B"/>
    <w:rsid w:val="001238CB"/>
    <w:rsid w:val="001239FB"/>
    <w:rsid w:val="00123BD7"/>
    <w:rsid w:val="00123F12"/>
    <w:rsid w:val="001243C9"/>
    <w:rsid w:val="001244F4"/>
    <w:rsid w:val="00124E8E"/>
    <w:rsid w:val="001257FA"/>
    <w:rsid w:val="00126872"/>
    <w:rsid w:val="00126DB8"/>
    <w:rsid w:val="00126E28"/>
    <w:rsid w:val="001308C8"/>
    <w:rsid w:val="00131740"/>
    <w:rsid w:val="00131EB9"/>
    <w:rsid w:val="001328DD"/>
    <w:rsid w:val="00132D61"/>
    <w:rsid w:val="00132F19"/>
    <w:rsid w:val="0013543E"/>
    <w:rsid w:val="001357C3"/>
    <w:rsid w:val="00136204"/>
    <w:rsid w:val="00136F68"/>
    <w:rsid w:val="00137324"/>
    <w:rsid w:val="0014024A"/>
    <w:rsid w:val="0014031F"/>
    <w:rsid w:val="001405F3"/>
    <w:rsid w:val="00140858"/>
    <w:rsid w:val="001415A2"/>
    <w:rsid w:val="00141B5E"/>
    <w:rsid w:val="0014205E"/>
    <w:rsid w:val="00142BD6"/>
    <w:rsid w:val="00142DC0"/>
    <w:rsid w:val="00143062"/>
    <w:rsid w:val="001439EE"/>
    <w:rsid w:val="00143C05"/>
    <w:rsid w:val="001440B7"/>
    <w:rsid w:val="0014431E"/>
    <w:rsid w:val="00144655"/>
    <w:rsid w:val="001451A8"/>
    <w:rsid w:val="00145508"/>
    <w:rsid w:val="00147535"/>
    <w:rsid w:val="00147A28"/>
    <w:rsid w:val="00150984"/>
    <w:rsid w:val="00151102"/>
    <w:rsid w:val="0015130E"/>
    <w:rsid w:val="00153932"/>
    <w:rsid w:val="001542BF"/>
    <w:rsid w:val="001545AE"/>
    <w:rsid w:val="00154F9E"/>
    <w:rsid w:val="00155237"/>
    <w:rsid w:val="001558AE"/>
    <w:rsid w:val="00157329"/>
    <w:rsid w:val="00157AF8"/>
    <w:rsid w:val="001616BB"/>
    <w:rsid w:val="0016191A"/>
    <w:rsid w:val="00162A46"/>
    <w:rsid w:val="001632D6"/>
    <w:rsid w:val="00163B7D"/>
    <w:rsid w:val="001642D0"/>
    <w:rsid w:val="001643E3"/>
    <w:rsid w:val="00164672"/>
    <w:rsid w:val="001648D2"/>
    <w:rsid w:val="001652D3"/>
    <w:rsid w:val="0016721D"/>
    <w:rsid w:val="001708EB"/>
    <w:rsid w:val="00170FC0"/>
    <w:rsid w:val="00171550"/>
    <w:rsid w:val="00171660"/>
    <w:rsid w:val="00172116"/>
    <w:rsid w:val="00172387"/>
    <w:rsid w:val="001727F2"/>
    <w:rsid w:val="00173ECE"/>
    <w:rsid w:val="00173FB8"/>
    <w:rsid w:val="001740F6"/>
    <w:rsid w:val="00175A6F"/>
    <w:rsid w:val="001761C6"/>
    <w:rsid w:val="00176974"/>
    <w:rsid w:val="001771CA"/>
    <w:rsid w:val="001777BF"/>
    <w:rsid w:val="00180236"/>
    <w:rsid w:val="001805DE"/>
    <w:rsid w:val="00181027"/>
    <w:rsid w:val="00182717"/>
    <w:rsid w:val="001827DF"/>
    <w:rsid w:val="00183082"/>
    <w:rsid w:val="00183405"/>
    <w:rsid w:val="00183EDD"/>
    <w:rsid w:val="001846E3"/>
    <w:rsid w:val="00184AC2"/>
    <w:rsid w:val="00185A79"/>
    <w:rsid w:val="0018703E"/>
    <w:rsid w:val="00187537"/>
    <w:rsid w:val="00187989"/>
    <w:rsid w:val="001879ED"/>
    <w:rsid w:val="00187B79"/>
    <w:rsid w:val="001907EB"/>
    <w:rsid w:val="00190B5B"/>
    <w:rsid w:val="00190C22"/>
    <w:rsid w:val="001918FE"/>
    <w:rsid w:val="00192082"/>
    <w:rsid w:val="001921CE"/>
    <w:rsid w:val="001928CD"/>
    <w:rsid w:val="001931DC"/>
    <w:rsid w:val="00193344"/>
    <w:rsid w:val="001934F4"/>
    <w:rsid w:val="00193B6F"/>
    <w:rsid w:val="00195D59"/>
    <w:rsid w:val="00196E07"/>
    <w:rsid w:val="001979FC"/>
    <w:rsid w:val="00197B9B"/>
    <w:rsid w:val="00197D97"/>
    <w:rsid w:val="001A141A"/>
    <w:rsid w:val="001A1F51"/>
    <w:rsid w:val="001A23BB"/>
    <w:rsid w:val="001A2453"/>
    <w:rsid w:val="001A2DA1"/>
    <w:rsid w:val="001A30BA"/>
    <w:rsid w:val="001A326D"/>
    <w:rsid w:val="001A3D53"/>
    <w:rsid w:val="001A4083"/>
    <w:rsid w:val="001A4342"/>
    <w:rsid w:val="001A461F"/>
    <w:rsid w:val="001A4D78"/>
    <w:rsid w:val="001A53DE"/>
    <w:rsid w:val="001A5805"/>
    <w:rsid w:val="001A6CF1"/>
    <w:rsid w:val="001A7119"/>
    <w:rsid w:val="001A7A42"/>
    <w:rsid w:val="001B06AA"/>
    <w:rsid w:val="001B08D3"/>
    <w:rsid w:val="001B0D6B"/>
    <w:rsid w:val="001B12A9"/>
    <w:rsid w:val="001B1664"/>
    <w:rsid w:val="001B1F88"/>
    <w:rsid w:val="001B2167"/>
    <w:rsid w:val="001B3379"/>
    <w:rsid w:val="001B3923"/>
    <w:rsid w:val="001B3E67"/>
    <w:rsid w:val="001B4349"/>
    <w:rsid w:val="001B4B65"/>
    <w:rsid w:val="001B59BE"/>
    <w:rsid w:val="001B6540"/>
    <w:rsid w:val="001B6CB4"/>
    <w:rsid w:val="001B6DA8"/>
    <w:rsid w:val="001C03FC"/>
    <w:rsid w:val="001C3AA0"/>
    <w:rsid w:val="001C431B"/>
    <w:rsid w:val="001C4340"/>
    <w:rsid w:val="001C4744"/>
    <w:rsid w:val="001C4983"/>
    <w:rsid w:val="001C4A6F"/>
    <w:rsid w:val="001C51F1"/>
    <w:rsid w:val="001C5422"/>
    <w:rsid w:val="001C5785"/>
    <w:rsid w:val="001C5C1E"/>
    <w:rsid w:val="001C6A70"/>
    <w:rsid w:val="001C71C7"/>
    <w:rsid w:val="001C7E65"/>
    <w:rsid w:val="001D0CB0"/>
    <w:rsid w:val="001D13FF"/>
    <w:rsid w:val="001D1BE0"/>
    <w:rsid w:val="001D27DC"/>
    <w:rsid w:val="001D4157"/>
    <w:rsid w:val="001D4409"/>
    <w:rsid w:val="001D48CC"/>
    <w:rsid w:val="001D4978"/>
    <w:rsid w:val="001D4CD5"/>
    <w:rsid w:val="001D5F2A"/>
    <w:rsid w:val="001D644E"/>
    <w:rsid w:val="001D6939"/>
    <w:rsid w:val="001E009D"/>
    <w:rsid w:val="001E0455"/>
    <w:rsid w:val="001E08D7"/>
    <w:rsid w:val="001E16AE"/>
    <w:rsid w:val="001E2B1A"/>
    <w:rsid w:val="001E2B4C"/>
    <w:rsid w:val="001E2CD5"/>
    <w:rsid w:val="001E3557"/>
    <w:rsid w:val="001E3C77"/>
    <w:rsid w:val="001E5116"/>
    <w:rsid w:val="001E6018"/>
    <w:rsid w:val="001E6034"/>
    <w:rsid w:val="001E64FB"/>
    <w:rsid w:val="001E673C"/>
    <w:rsid w:val="001E68EF"/>
    <w:rsid w:val="001E7507"/>
    <w:rsid w:val="001E7BB2"/>
    <w:rsid w:val="001F13BF"/>
    <w:rsid w:val="001F1609"/>
    <w:rsid w:val="001F1BB2"/>
    <w:rsid w:val="001F3311"/>
    <w:rsid w:val="001F3631"/>
    <w:rsid w:val="001F41C6"/>
    <w:rsid w:val="001F41D2"/>
    <w:rsid w:val="001F42E5"/>
    <w:rsid w:val="001F4728"/>
    <w:rsid w:val="001F4978"/>
    <w:rsid w:val="001F5AAD"/>
    <w:rsid w:val="001F621B"/>
    <w:rsid w:val="001F699A"/>
    <w:rsid w:val="001F6BF7"/>
    <w:rsid w:val="001F7C3F"/>
    <w:rsid w:val="002003BD"/>
    <w:rsid w:val="00200F95"/>
    <w:rsid w:val="00201A4D"/>
    <w:rsid w:val="00202136"/>
    <w:rsid w:val="00202A43"/>
    <w:rsid w:val="00202B72"/>
    <w:rsid w:val="002032E2"/>
    <w:rsid w:val="0020369D"/>
    <w:rsid w:val="0020568E"/>
    <w:rsid w:val="00205A1C"/>
    <w:rsid w:val="002060E7"/>
    <w:rsid w:val="002061AD"/>
    <w:rsid w:val="00206682"/>
    <w:rsid w:val="00207D56"/>
    <w:rsid w:val="002105C5"/>
    <w:rsid w:val="002105C9"/>
    <w:rsid w:val="0021071B"/>
    <w:rsid w:val="00210AED"/>
    <w:rsid w:val="00211170"/>
    <w:rsid w:val="00211307"/>
    <w:rsid w:val="0021189B"/>
    <w:rsid w:val="00212403"/>
    <w:rsid w:val="00212697"/>
    <w:rsid w:val="00212D0A"/>
    <w:rsid w:val="00212DCC"/>
    <w:rsid w:val="00212FE4"/>
    <w:rsid w:val="00213A2E"/>
    <w:rsid w:val="00214B04"/>
    <w:rsid w:val="002158C5"/>
    <w:rsid w:val="00216061"/>
    <w:rsid w:val="00216740"/>
    <w:rsid w:val="00216D19"/>
    <w:rsid w:val="00217339"/>
    <w:rsid w:val="00220A49"/>
    <w:rsid w:val="00220C85"/>
    <w:rsid w:val="002214C5"/>
    <w:rsid w:val="0022166E"/>
    <w:rsid w:val="002218B5"/>
    <w:rsid w:val="00221D7E"/>
    <w:rsid w:val="00223BED"/>
    <w:rsid w:val="00224632"/>
    <w:rsid w:val="002251D8"/>
    <w:rsid w:val="00225A8C"/>
    <w:rsid w:val="00225DE3"/>
    <w:rsid w:val="0022688A"/>
    <w:rsid w:val="00226C85"/>
    <w:rsid w:val="0022755C"/>
    <w:rsid w:val="00227A9E"/>
    <w:rsid w:val="00227C1C"/>
    <w:rsid w:val="00230265"/>
    <w:rsid w:val="00230A8F"/>
    <w:rsid w:val="0023164B"/>
    <w:rsid w:val="00231718"/>
    <w:rsid w:val="002317D8"/>
    <w:rsid w:val="00232598"/>
    <w:rsid w:val="002339AC"/>
    <w:rsid w:val="00233D00"/>
    <w:rsid w:val="002344AE"/>
    <w:rsid w:val="00234D9D"/>
    <w:rsid w:val="002350CD"/>
    <w:rsid w:val="00235353"/>
    <w:rsid w:val="0023582D"/>
    <w:rsid w:val="00235AFB"/>
    <w:rsid w:val="00236F73"/>
    <w:rsid w:val="002376A3"/>
    <w:rsid w:val="002378C4"/>
    <w:rsid w:val="00237BF2"/>
    <w:rsid w:val="00240594"/>
    <w:rsid w:val="00240AB5"/>
    <w:rsid w:val="0024149E"/>
    <w:rsid w:val="002421C2"/>
    <w:rsid w:val="0024288B"/>
    <w:rsid w:val="00242925"/>
    <w:rsid w:val="00242BF1"/>
    <w:rsid w:val="002431FA"/>
    <w:rsid w:val="00243B2F"/>
    <w:rsid w:val="00243EC3"/>
    <w:rsid w:val="0024668D"/>
    <w:rsid w:val="00246A5B"/>
    <w:rsid w:val="00247C5A"/>
    <w:rsid w:val="00247C5F"/>
    <w:rsid w:val="00247E87"/>
    <w:rsid w:val="0025086B"/>
    <w:rsid w:val="00252B3E"/>
    <w:rsid w:val="002537E1"/>
    <w:rsid w:val="00253E77"/>
    <w:rsid w:val="00254666"/>
    <w:rsid w:val="00254B16"/>
    <w:rsid w:val="0025538C"/>
    <w:rsid w:val="00255AD1"/>
    <w:rsid w:val="0025660A"/>
    <w:rsid w:val="00256EB9"/>
    <w:rsid w:val="002570D5"/>
    <w:rsid w:val="0025751D"/>
    <w:rsid w:val="00257621"/>
    <w:rsid w:val="00260221"/>
    <w:rsid w:val="00260264"/>
    <w:rsid w:val="002606E7"/>
    <w:rsid w:val="00260D16"/>
    <w:rsid w:val="002616C9"/>
    <w:rsid w:val="00262543"/>
    <w:rsid w:val="002627B9"/>
    <w:rsid w:val="00263917"/>
    <w:rsid w:val="00263B4B"/>
    <w:rsid w:val="00263E8C"/>
    <w:rsid w:val="002645FE"/>
    <w:rsid w:val="00264C67"/>
    <w:rsid w:val="00264F56"/>
    <w:rsid w:val="002656F2"/>
    <w:rsid w:val="002668D8"/>
    <w:rsid w:val="002671FD"/>
    <w:rsid w:val="00267B44"/>
    <w:rsid w:val="00267CCC"/>
    <w:rsid w:val="002702CD"/>
    <w:rsid w:val="002702F6"/>
    <w:rsid w:val="00270718"/>
    <w:rsid w:val="002709A4"/>
    <w:rsid w:val="00270AD7"/>
    <w:rsid w:val="00270E36"/>
    <w:rsid w:val="002710BC"/>
    <w:rsid w:val="00271D13"/>
    <w:rsid w:val="002720B5"/>
    <w:rsid w:val="00272A52"/>
    <w:rsid w:val="00274AD4"/>
    <w:rsid w:val="00275C7E"/>
    <w:rsid w:val="00275E99"/>
    <w:rsid w:val="002761ED"/>
    <w:rsid w:val="002767D1"/>
    <w:rsid w:val="002767DA"/>
    <w:rsid w:val="002770F6"/>
    <w:rsid w:val="002772F8"/>
    <w:rsid w:val="00277704"/>
    <w:rsid w:val="002777E9"/>
    <w:rsid w:val="0027780B"/>
    <w:rsid w:val="00277A42"/>
    <w:rsid w:val="002804E9"/>
    <w:rsid w:val="002807DB"/>
    <w:rsid w:val="002809E4"/>
    <w:rsid w:val="00280EC0"/>
    <w:rsid w:val="00281A35"/>
    <w:rsid w:val="002828E4"/>
    <w:rsid w:val="00282C5F"/>
    <w:rsid w:val="00283E30"/>
    <w:rsid w:val="00283F6D"/>
    <w:rsid w:val="00286876"/>
    <w:rsid w:val="00286877"/>
    <w:rsid w:val="00286B94"/>
    <w:rsid w:val="0028772F"/>
    <w:rsid w:val="002903A6"/>
    <w:rsid w:val="002906FB"/>
    <w:rsid w:val="0029095D"/>
    <w:rsid w:val="00290B47"/>
    <w:rsid w:val="00291067"/>
    <w:rsid w:val="0029191E"/>
    <w:rsid w:val="00292333"/>
    <w:rsid w:val="0029258C"/>
    <w:rsid w:val="00292B38"/>
    <w:rsid w:val="00293EE9"/>
    <w:rsid w:val="0029438A"/>
    <w:rsid w:val="00294D11"/>
    <w:rsid w:val="00295134"/>
    <w:rsid w:val="00295529"/>
    <w:rsid w:val="00295617"/>
    <w:rsid w:val="00296269"/>
    <w:rsid w:val="00296293"/>
    <w:rsid w:val="00296984"/>
    <w:rsid w:val="00296BDA"/>
    <w:rsid w:val="00296C83"/>
    <w:rsid w:val="002977F8"/>
    <w:rsid w:val="002A02F8"/>
    <w:rsid w:val="002A10BE"/>
    <w:rsid w:val="002A13EC"/>
    <w:rsid w:val="002A1BF6"/>
    <w:rsid w:val="002A21DA"/>
    <w:rsid w:val="002A26A5"/>
    <w:rsid w:val="002A3937"/>
    <w:rsid w:val="002A4F99"/>
    <w:rsid w:val="002A56C3"/>
    <w:rsid w:val="002A5F71"/>
    <w:rsid w:val="002A71FA"/>
    <w:rsid w:val="002B052C"/>
    <w:rsid w:val="002B2B13"/>
    <w:rsid w:val="002B2ED2"/>
    <w:rsid w:val="002B2F9B"/>
    <w:rsid w:val="002B309B"/>
    <w:rsid w:val="002B31C0"/>
    <w:rsid w:val="002B3BBC"/>
    <w:rsid w:val="002B45E9"/>
    <w:rsid w:val="002B4AC0"/>
    <w:rsid w:val="002B4F5F"/>
    <w:rsid w:val="002B51E0"/>
    <w:rsid w:val="002B56F0"/>
    <w:rsid w:val="002B596D"/>
    <w:rsid w:val="002B61FC"/>
    <w:rsid w:val="002B64F5"/>
    <w:rsid w:val="002B74FE"/>
    <w:rsid w:val="002B7C51"/>
    <w:rsid w:val="002B7F2F"/>
    <w:rsid w:val="002C098F"/>
    <w:rsid w:val="002C183C"/>
    <w:rsid w:val="002C1AD6"/>
    <w:rsid w:val="002C1D4B"/>
    <w:rsid w:val="002C2046"/>
    <w:rsid w:val="002C2064"/>
    <w:rsid w:val="002C3A77"/>
    <w:rsid w:val="002C4839"/>
    <w:rsid w:val="002C4C84"/>
    <w:rsid w:val="002C6838"/>
    <w:rsid w:val="002C6C3E"/>
    <w:rsid w:val="002D0C17"/>
    <w:rsid w:val="002D1C33"/>
    <w:rsid w:val="002D21A1"/>
    <w:rsid w:val="002D285D"/>
    <w:rsid w:val="002D47EA"/>
    <w:rsid w:val="002D4928"/>
    <w:rsid w:val="002D4F09"/>
    <w:rsid w:val="002D4FBF"/>
    <w:rsid w:val="002D53B9"/>
    <w:rsid w:val="002D5B6B"/>
    <w:rsid w:val="002D5D13"/>
    <w:rsid w:val="002D6DF9"/>
    <w:rsid w:val="002D7930"/>
    <w:rsid w:val="002D7C21"/>
    <w:rsid w:val="002D7EED"/>
    <w:rsid w:val="002E1A3F"/>
    <w:rsid w:val="002E1D59"/>
    <w:rsid w:val="002E2AE9"/>
    <w:rsid w:val="002E3192"/>
    <w:rsid w:val="002E391C"/>
    <w:rsid w:val="002E4EA7"/>
    <w:rsid w:val="002E535D"/>
    <w:rsid w:val="002E6515"/>
    <w:rsid w:val="002E6845"/>
    <w:rsid w:val="002E7897"/>
    <w:rsid w:val="002E79D5"/>
    <w:rsid w:val="002F02BA"/>
    <w:rsid w:val="002F043F"/>
    <w:rsid w:val="002F0DCB"/>
    <w:rsid w:val="002F0E91"/>
    <w:rsid w:val="002F1CF3"/>
    <w:rsid w:val="002F2CC6"/>
    <w:rsid w:val="002F31AC"/>
    <w:rsid w:val="002F3360"/>
    <w:rsid w:val="002F4071"/>
    <w:rsid w:val="002F45CF"/>
    <w:rsid w:val="002F5933"/>
    <w:rsid w:val="002F59EA"/>
    <w:rsid w:val="002F5F70"/>
    <w:rsid w:val="002F647B"/>
    <w:rsid w:val="003006BF"/>
    <w:rsid w:val="00300938"/>
    <w:rsid w:val="00300FD9"/>
    <w:rsid w:val="00301330"/>
    <w:rsid w:val="00301803"/>
    <w:rsid w:val="00301F84"/>
    <w:rsid w:val="003033AC"/>
    <w:rsid w:val="00304418"/>
    <w:rsid w:val="003045BD"/>
    <w:rsid w:val="0030556E"/>
    <w:rsid w:val="00305B65"/>
    <w:rsid w:val="00306722"/>
    <w:rsid w:val="00310DA6"/>
    <w:rsid w:val="00311F31"/>
    <w:rsid w:val="00312DC5"/>
    <w:rsid w:val="00313545"/>
    <w:rsid w:val="00313CCB"/>
    <w:rsid w:val="003142A6"/>
    <w:rsid w:val="00314A61"/>
    <w:rsid w:val="00315923"/>
    <w:rsid w:val="00315A24"/>
    <w:rsid w:val="0031645E"/>
    <w:rsid w:val="00316AE6"/>
    <w:rsid w:val="00317447"/>
    <w:rsid w:val="00317867"/>
    <w:rsid w:val="0032154C"/>
    <w:rsid w:val="003215F3"/>
    <w:rsid w:val="0032174E"/>
    <w:rsid w:val="0032180A"/>
    <w:rsid w:val="00321B63"/>
    <w:rsid w:val="0032239E"/>
    <w:rsid w:val="00322449"/>
    <w:rsid w:val="003233E3"/>
    <w:rsid w:val="0032364A"/>
    <w:rsid w:val="003236C8"/>
    <w:rsid w:val="00323DC8"/>
    <w:rsid w:val="00324270"/>
    <w:rsid w:val="00324676"/>
    <w:rsid w:val="00324C90"/>
    <w:rsid w:val="003256EA"/>
    <w:rsid w:val="00325ABE"/>
    <w:rsid w:val="00327054"/>
    <w:rsid w:val="00327397"/>
    <w:rsid w:val="00327AC4"/>
    <w:rsid w:val="00327D51"/>
    <w:rsid w:val="00330989"/>
    <w:rsid w:val="003345F4"/>
    <w:rsid w:val="00334DDF"/>
    <w:rsid w:val="003351AA"/>
    <w:rsid w:val="003352E4"/>
    <w:rsid w:val="00335455"/>
    <w:rsid w:val="003354DA"/>
    <w:rsid w:val="00336EB2"/>
    <w:rsid w:val="0033779B"/>
    <w:rsid w:val="0034094D"/>
    <w:rsid w:val="00340966"/>
    <w:rsid w:val="00341254"/>
    <w:rsid w:val="00341332"/>
    <w:rsid w:val="003417AB"/>
    <w:rsid w:val="00342370"/>
    <w:rsid w:val="00342FD6"/>
    <w:rsid w:val="00343260"/>
    <w:rsid w:val="003435CE"/>
    <w:rsid w:val="00343D6F"/>
    <w:rsid w:val="00343D9A"/>
    <w:rsid w:val="00343E9E"/>
    <w:rsid w:val="00344103"/>
    <w:rsid w:val="00344C09"/>
    <w:rsid w:val="003452B9"/>
    <w:rsid w:val="003473E7"/>
    <w:rsid w:val="00347610"/>
    <w:rsid w:val="00347702"/>
    <w:rsid w:val="003506C8"/>
    <w:rsid w:val="00350A80"/>
    <w:rsid w:val="00350A94"/>
    <w:rsid w:val="00350F9A"/>
    <w:rsid w:val="00351B55"/>
    <w:rsid w:val="00351D12"/>
    <w:rsid w:val="00353C96"/>
    <w:rsid w:val="003549B1"/>
    <w:rsid w:val="00354CB7"/>
    <w:rsid w:val="003554FF"/>
    <w:rsid w:val="00355670"/>
    <w:rsid w:val="003565BB"/>
    <w:rsid w:val="00357307"/>
    <w:rsid w:val="00357BF9"/>
    <w:rsid w:val="00360014"/>
    <w:rsid w:val="003619D7"/>
    <w:rsid w:val="00361F1A"/>
    <w:rsid w:val="00362297"/>
    <w:rsid w:val="003627B9"/>
    <w:rsid w:val="00362B54"/>
    <w:rsid w:val="00363813"/>
    <w:rsid w:val="003638C4"/>
    <w:rsid w:val="00363A88"/>
    <w:rsid w:val="00363E96"/>
    <w:rsid w:val="00364070"/>
    <w:rsid w:val="003644E7"/>
    <w:rsid w:val="00364625"/>
    <w:rsid w:val="00364A2C"/>
    <w:rsid w:val="00364EC8"/>
    <w:rsid w:val="00365313"/>
    <w:rsid w:val="00365400"/>
    <w:rsid w:val="003654CD"/>
    <w:rsid w:val="00365C86"/>
    <w:rsid w:val="00366EA8"/>
    <w:rsid w:val="003671B9"/>
    <w:rsid w:val="00370C53"/>
    <w:rsid w:val="0037124B"/>
    <w:rsid w:val="00371397"/>
    <w:rsid w:val="0037154E"/>
    <w:rsid w:val="00371A50"/>
    <w:rsid w:val="0037282C"/>
    <w:rsid w:val="00372AF5"/>
    <w:rsid w:val="00373E37"/>
    <w:rsid w:val="00374B13"/>
    <w:rsid w:val="00374DEA"/>
    <w:rsid w:val="00374ED0"/>
    <w:rsid w:val="00375195"/>
    <w:rsid w:val="003751F2"/>
    <w:rsid w:val="003752CF"/>
    <w:rsid w:val="003757D8"/>
    <w:rsid w:val="00377B5C"/>
    <w:rsid w:val="00377E57"/>
    <w:rsid w:val="003824D8"/>
    <w:rsid w:val="00382C31"/>
    <w:rsid w:val="00382D5C"/>
    <w:rsid w:val="00383326"/>
    <w:rsid w:val="003839DD"/>
    <w:rsid w:val="003840D9"/>
    <w:rsid w:val="00384D05"/>
    <w:rsid w:val="00384EB8"/>
    <w:rsid w:val="0038539E"/>
    <w:rsid w:val="00385571"/>
    <w:rsid w:val="00386494"/>
    <w:rsid w:val="00387428"/>
    <w:rsid w:val="00387588"/>
    <w:rsid w:val="00387C8F"/>
    <w:rsid w:val="003903BE"/>
    <w:rsid w:val="003905FA"/>
    <w:rsid w:val="00390B93"/>
    <w:rsid w:val="00390D33"/>
    <w:rsid w:val="0039159F"/>
    <w:rsid w:val="00391BC9"/>
    <w:rsid w:val="00391D85"/>
    <w:rsid w:val="00391DC1"/>
    <w:rsid w:val="0039208C"/>
    <w:rsid w:val="003921E8"/>
    <w:rsid w:val="00395F1F"/>
    <w:rsid w:val="00396B3C"/>
    <w:rsid w:val="003976EE"/>
    <w:rsid w:val="00397D87"/>
    <w:rsid w:val="003A0B0C"/>
    <w:rsid w:val="003A0E97"/>
    <w:rsid w:val="003A1040"/>
    <w:rsid w:val="003A1746"/>
    <w:rsid w:val="003A198B"/>
    <w:rsid w:val="003A2E3B"/>
    <w:rsid w:val="003A2EF3"/>
    <w:rsid w:val="003A45E2"/>
    <w:rsid w:val="003A4B00"/>
    <w:rsid w:val="003A4B8F"/>
    <w:rsid w:val="003A4ED2"/>
    <w:rsid w:val="003A60E0"/>
    <w:rsid w:val="003A7241"/>
    <w:rsid w:val="003A7C20"/>
    <w:rsid w:val="003B014A"/>
    <w:rsid w:val="003B0636"/>
    <w:rsid w:val="003B086D"/>
    <w:rsid w:val="003B094A"/>
    <w:rsid w:val="003B1467"/>
    <w:rsid w:val="003B1919"/>
    <w:rsid w:val="003B20F9"/>
    <w:rsid w:val="003B24A2"/>
    <w:rsid w:val="003B2545"/>
    <w:rsid w:val="003B341F"/>
    <w:rsid w:val="003B3D18"/>
    <w:rsid w:val="003B4483"/>
    <w:rsid w:val="003B4489"/>
    <w:rsid w:val="003B4810"/>
    <w:rsid w:val="003B5414"/>
    <w:rsid w:val="003B5A2E"/>
    <w:rsid w:val="003B5C51"/>
    <w:rsid w:val="003B6677"/>
    <w:rsid w:val="003B6A70"/>
    <w:rsid w:val="003C0A02"/>
    <w:rsid w:val="003C0EBE"/>
    <w:rsid w:val="003C15AC"/>
    <w:rsid w:val="003C1B17"/>
    <w:rsid w:val="003C1DA4"/>
    <w:rsid w:val="003C1EAF"/>
    <w:rsid w:val="003C23F8"/>
    <w:rsid w:val="003C26EF"/>
    <w:rsid w:val="003C279F"/>
    <w:rsid w:val="003C32B2"/>
    <w:rsid w:val="003C4073"/>
    <w:rsid w:val="003C40F3"/>
    <w:rsid w:val="003C5147"/>
    <w:rsid w:val="003C5324"/>
    <w:rsid w:val="003C5801"/>
    <w:rsid w:val="003C5A09"/>
    <w:rsid w:val="003C6F2D"/>
    <w:rsid w:val="003C727F"/>
    <w:rsid w:val="003D0503"/>
    <w:rsid w:val="003D19F1"/>
    <w:rsid w:val="003D2CC1"/>
    <w:rsid w:val="003D5229"/>
    <w:rsid w:val="003D66DE"/>
    <w:rsid w:val="003D727D"/>
    <w:rsid w:val="003D78AB"/>
    <w:rsid w:val="003E1682"/>
    <w:rsid w:val="003E1A6E"/>
    <w:rsid w:val="003E1E0A"/>
    <w:rsid w:val="003E1FA0"/>
    <w:rsid w:val="003E2AA4"/>
    <w:rsid w:val="003E3032"/>
    <w:rsid w:val="003E37EE"/>
    <w:rsid w:val="003E3E67"/>
    <w:rsid w:val="003E45EA"/>
    <w:rsid w:val="003E5CBD"/>
    <w:rsid w:val="003E61B4"/>
    <w:rsid w:val="003E6437"/>
    <w:rsid w:val="003E66A5"/>
    <w:rsid w:val="003E6823"/>
    <w:rsid w:val="003E7BC7"/>
    <w:rsid w:val="003F049F"/>
    <w:rsid w:val="003F0516"/>
    <w:rsid w:val="003F1125"/>
    <w:rsid w:val="003F21FD"/>
    <w:rsid w:val="003F223D"/>
    <w:rsid w:val="003F2959"/>
    <w:rsid w:val="003F48A6"/>
    <w:rsid w:val="003F4C03"/>
    <w:rsid w:val="003F5122"/>
    <w:rsid w:val="003F6017"/>
    <w:rsid w:val="003F6406"/>
    <w:rsid w:val="003F65C3"/>
    <w:rsid w:val="003F68EE"/>
    <w:rsid w:val="003F6AD4"/>
    <w:rsid w:val="003F6F54"/>
    <w:rsid w:val="003F7106"/>
    <w:rsid w:val="003F73CE"/>
    <w:rsid w:val="0040061A"/>
    <w:rsid w:val="0040095F"/>
    <w:rsid w:val="004010C2"/>
    <w:rsid w:val="004015A8"/>
    <w:rsid w:val="00401C8C"/>
    <w:rsid w:val="00402816"/>
    <w:rsid w:val="0040298F"/>
    <w:rsid w:val="00402FB6"/>
    <w:rsid w:val="00403C2F"/>
    <w:rsid w:val="00403EC7"/>
    <w:rsid w:val="0040427A"/>
    <w:rsid w:val="00404E3B"/>
    <w:rsid w:val="00406C35"/>
    <w:rsid w:val="004100BF"/>
    <w:rsid w:val="0041035D"/>
    <w:rsid w:val="004104F2"/>
    <w:rsid w:val="00410F37"/>
    <w:rsid w:val="00411B92"/>
    <w:rsid w:val="00412A09"/>
    <w:rsid w:val="00412F4F"/>
    <w:rsid w:val="00413B5A"/>
    <w:rsid w:val="004142D5"/>
    <w:rsid w:val="00414ED3"/>
    <w:rsid w:val="00415E0C"/>
    <w:rsid w:val="004179B2"/>
    <w:rsid w:val="0042074A"/>
    <w:rsid w:val="00421DFB"/>
    <w:rsid w:val="0042291E"/>
    <w:rsid w:val="004230B4"/>
    <w:rsid w:val="004235F3"/>
    <w:rsid w:val="00423808"/>
    <w:rsid w:val="00423D97"/>
    <w:rsid w:val="0042486D"/>
    <w:rsid w:val="00425300"/>
    <w:rsid w:val="00425BFB"/>
    <w:rsid w:val="00426861"/>
    <w:rsid w:val="004273DE"/>
    <w:rsid w:val="00427779"/>
    <w:rsid w:val="00427E64"/>
    <w:rsid w:val="00427F92"/>
    <w:rsid w:val="00430529"/>
    <w:rsid w:val="00430D76"/>
    <w:rsid w:val="00430DDB"/>
    <w:rsid w:val="0043103D"/>
    <w:rsid w:val="004322E9"/>
    <w:rsid w:val="00432B90"/>
    <w:rsid w:val="00433249"/>
    <w:rsid w:val="00433E2E"/>
    <w:rsid w:val="00433FF5"/>
    <w:rsid w:val="004346A4"/>
    <w:rsid w:val="004358E1"/>
    <w:rsid w:val="00435B82"/>
    <w:rsid w:val="00435C10"/>
    <w:rsid w:val="00435DC7"/>
    <w:rsid w:val="004361BB"/>
    <w:rsid w:val="00436ACA"/>
    <w:rsid w:val="00436EB4"/>
    <w:rsid w:val="0044054A"/>
    <w:rsid w:val="004405E5"/>
    <w:rsid w:val="00440D16"/>
    <w:rsid w:val="00440D3D"/>
    <w:rsid w:val="004429BF"/>
    <w:rsid w:val="004429E9"/>
    <w:rsid w:val="00442AE0"/>
    <w:rsid w:val="00443BF3"/>
    <w:rsid w:val="00443C00"/>
    <w:rsid w:val="00443F3F"/>
    <w:rsid w:val="00444784"/>
    <w:rsid w:val="00445B79"/>
    <w:rsid w:val="00446119"/>
    <w:rsid w:val="0044661F"/>
    <w:rsid w:val="0044689A"/>
    <w:rsid w:val="00447987"/>
    <w:rsid w:val="00450853"/>
    <w:rsid w:val="00451632"/>
    <w:rsid w:val="0045168D"/>
    <w:rsid w:val="00453990"/>
    <w:rsid w:val="00455665"/>
    <w:rsid w:val="00455F25"/>
    <w:rsid w:val="004569FB"/>
    <w:rsid w:val="00456B36"/>
    <w:rsid w:val="00457450"/>
    <w:rsid w:val="00457684"/>
    <w:rsid w:val="00457A4B"/>
    <w:rsid w:val="00457E31"/>
    <w:rsid w:val="00460F76"/>
    <w:rsid w:val="0046215F"/>
    <w:rsid w:val="004628EB"/>
    <w:rsid w:val="00462D34"/>
    <w:rsid w:val="004638A4"/>
    <w:rsid w:val="004640D3"/>
    <w:rsid w:val="00464732"/>
    <w:rsid w:val="0046505A"/>
    <w:rsid w:val="00465805"/>
    <w:rsid w:val="00466DD5"/>
    <w:rsid w:val="0046724E"/>
    <w:rsid w:val="00467606"/>
    <w:rsid w:val="004677E6"/>
    <w:rsid w:val="00467F44"/>
    <w:rsid w:val="00470576"/>
    <w:rsid w:val="00473757"/>
    <w:rsid w:val="004738ED"/>
    <w:rsid w:val="0047424F"/>
    <w:rsid w:val="00474E5B"/>
    <w:rsid w:val="00475354"/>
    <w:rsid w:val="004755DB"/>
    <w:rsid w:val="00476A74"/>
    <w:rsid w:val="00476B80"/>
    <w:rsid w:val="00476E00"/>
    <w:rsid w:val="00480CA9"/>
    <w:rsid w:val="00481A71"/>
    <w:rsid w:val="00481C63"/>
    <w:rsid w:val="00482044"/>
    <w:rsid w:val="00482A79"/>
    <w:rsid w:val="00482C81"/>
    <w:rsid w:val="00482CF2"/>
    <w:rsid w:val="00483077"/>
    <w:rsid w:val="00484BBB"/>
    <w:rsid w:val="00485257"/>
    <w:rsid w:val="0048590B"/>
    <w:rsid w:val="00486C5D"/>
    <w:rsid w:val="00486CF9"/>
    <w:rsid w:val="00486FC7"/>
    <w:rsid w:val="00487070"/>
    <w:rsid w:val="0048717C"/>
    <w:rsid w:val="004873E0"/>
    <w:rsid w:val="004874EC"/>
    <w:rsid w:val="004877F5"/>
    <w:rsid w:val="00487E51"/>
    <w:rsid w:val="004902C7"/>
    <w:rsid w:val="004908E9"/>
    <w:rsid w:val="00490C51"/>
    <w:rsid w:val="00490C6B"/>
    <w:rsid w:val="004915C5"/>
    <w:rsid w:val="004916DD"/>
    <w:rsid w:val="0049196F"/>
    <w:rsid w:val="004922DA"/>
    <w:rsid w:val="0049413E"/>
    <w:rsid w:val="00494DCF"/>
    <w:rsid w:val="00495728"/>
    <w:rsid w:val="00495A64"/>
    <w:rsid w:val="00495B47"/>
    <w:rsid w:val="00495E72"/>
    <w:rsid w:val="004965C1"/>
    <w:rsid w:val="00496B7E"/>
    <w:rsid w:val="00496E5B"/>
    <w:rsid w:val="00497862"/>
    <w:rsid w:val="004A017F"/>
    <w:rsid w:val="004A0AD6"/>
    <w:rsid w:val="004A0B93"/>
    <w:rsid w:val="004A0BBB"/>
    <w:rsid w:val="004A1086"/>
    <w:rsid w:val="004A1467"/>
    <w:rsid w:val="004A1535"/>
    <w:rsid w:val="004A1AC0"/>
    <w:rsid w:val="004A252E"/>
    <w:rsid w:val="004A34E4"/>
    <w:rsid w:val="004A3561"/>
    <w:rsid w:val="004A3955"/>
    <w:rsid w:val="004A4F77"/>
    <w:rsid w:val="004A5BF7"/>
    <w:rsid w:val="004A6010"/>
    <w:rsid w:val="004A6175"/>
    <w:rsid w:val="004A675F"/>
    <w:rsid w:val="004A734E"/>
    <w:rsid w:val="004B064A"/>
    <w:rsid w:val="004B0A40"/>
    <w:rsid w:val="004B0FB5"/>
    <w:rsid w:val="004B1467"/>
    <w:rsid w:val="004B17FB"/>
    <w:rsid w:val="004B1D18"/>
    <w:rsid w:val="004B2806"/>
    <w:rsid w:val="004B32E4"/>
    <w:rsid w:val="004B3368"/>
    <w:rsid w:val="004B4415"/>
    <w:rsid w:val="004B469E"/>
    <w:rsid w:val="004B57B4"/>
    <w:rsid w:val="004B588D"/>
    <w:rsid w:val="004B5E2E"/>
    <w:rsid w:val="004B71B4"/>
    <w:rsid w:val="004B71F1"/>
    <w:rsid w:val="004B7BB6"/>
    <w:rsid w:val="004C0105"/>
    <w:rsid w:val="004C033E"/>
    <w:rsid w:val="004C1112"/>
    <w:rsid w:val="004C3B67"/>
    <w:rsid w:val="004C3C46"/>
    <w:rsid w:val="004C3E27"/>
    <w:rsid w:val="004C42EC"/>
    <w:rsid w:val="004C4389"/>
    <w:rsid w:val="004C5407"/>
    <w:rsid w:val="004C5474"/>
    <w:rsid w:val="004C57B4"/>
    <w:rsid w:val="004C59B2"/>
    <w:rsid w:val="004C5B3F"/>
    <w:rsid w:val="004C691E"/>
    <w:rsid w:val="004C7794"/>
    <w:rsid w:val="004D2256"/>
    <w:rsid w:val="004D2754"/>
    <w:rsid w:val="004D2D2C"/>
    <w:rsid w:val="004D2D52"/>
    <w:rsid w:val="004D3302"/>
    <w:rsid w:val="004D41D8"/>
    <w:rsid w:val="004D6B2B"/>
    <w:rsid w:val="004D7BB2"/>
    <w:rsid w:val="004E0473"/>
    <w:rsid w:val="004E0B8E"/>
    <w:rsid w:val="004E0CA0"/>
    <w:rsid w:val="004E10E7"/>
    <w:rsid w:val="004E1BA8"/>
    <w:rsid w:val="004E1C4A"/>
    <w:rsid w:val="004E1EAE"/>
    <w:rsid w:val="004E2E4E"/>
    <w:rsid w:val="004E3C80"/>
    <w:rsid w:val="004E4DFC"/>
    <w:rsid w:val="004E5464"/>
    <w:rsid w:val="004E55EC"/>
    <w:rsid w:val="004E5EE3"/>
    <w:rsid w:val="004E6F25"/>
    <w:rsid w:val="004E7AB0"/>
    <w:rsid w:val="004F2054"/>
    <w:rsid w:val="004F220F"/>
    <w:rsid w:val="004F2C05"/>
    <w:rsid w:val="004F2C3C"/>
    <w:rsid w:val="004F550F"/>
    <w:rsid w:val="004F55FF"/>
    <w:rsid w:val="004F5AB5"/>
    <w:rsid w:val="004F635E"/>
    <w:rsid w:val="004F6E39"/>
    <w:rsid w:val="004F7659"/>
    <w:rsid w:val="004F7C20"/>
    <w:rsid w:val="005016B1"/>
    <w:rsid w:val="00501D23"/>
    <w:rsid w:val="00502D7A"/>
    <w:rsid w:val="00502DA1"/>
    <w:rsid w:val="00502DEE"/>
    <w:rsid w:val="00503B0B"/>
    <w:rsid w:val="00503D92"/>
    <w:rsid w:val="00503E10"/>
    <w:rsid w:val="0050466F"/>
    <w:rsid w:val="00504D3F"/>
    <w:rsid w:val="00505747"/>
    <w:rsid w:val="00505DDC"/>
    <w:rsid w:val="0050634B"/>
    <w:rsid w:val="00506ACC"/>
    <w:rsid w:val="00510C96"/>
    <w:rsid w:val="00512FA6"/>
    <w:rsid w:val="00513CA7"/>
    <w:rsid w:val="0051525A"/>
    <w:rsid w:val="0051583F"/>
    <w:rsid w:val="00515B71"/>
    <w:rsid w:val="00515B95"/>
    <w:rsid w:val="00516171"/>
    <w:rsid w:val="0051693D"/>
    <w:rsid w:val="005200E9"/>
    <w:rsid w:val="00520587"/>
    <w:rsid w:val="00520727"/>
    <w:rsid w:val="005220BA"/>
    <w:rsid w:val="00522105"/>
    <w:rsid w:val="00522AE8"/>
    <w:rsid w:val="00524665"/>
    <w:rsid w:val="0052476C"/>
    <w:rsid w:val="005247E5"/>
    <w:rsid w:val="00524F93"/>
    <w:rsid w:val="00525709"/>
    <w:rsid w:val="005260FF"/>
    <w:rsid w:val="00526311"/>
    <w:rsid w:val="00526640"/>
    <w:rsid w:val="0052688B"/>
    <w:rsid w:val="00526D92"/>
    <w:rsid w:val="00527372"/>
    <w:rsid w:val="0053028C"/>
    <w:rsid w:val="00531B6C"/>
    <w:rsid w:val="00531BEC"/>
    <w:rsid w:val="00531C8B"/>
    <w:rsid w:val="00531DCA"/>
    <w:rsid w:val="00531DDE"/>
    <w:rsid w:val="00531E33"/>
    <w:rsid w:val="00532202"/>
    <w:rsid w:val="00532727"/>
    <w:rsid w:val="00533128"/>
    <w:rsid w:val="00533474"/>
    <w:rsid w:val="00533E0F"/>
    <w:rsid w:val="00534091"/>
    <w:rsid w:val="00534A1E"/>
    <w:rsid w:val="00535767"/>
    <w:rsid w:val="00535FD4"/>
    <w:rsid w:val="00536F8E"/>
    <w:rsid w:val="0053717F"/>
    <w:rsid w:val="00537296"/>
    <w:rsid w:val="00540455"/>
    <w:rsid w:val="00540570"/>
    <w:rsid w:val="00540BCD"/>
    <w:rsid w:val="0054112A"/>
    <w:rsid w:val="00541B53"/>
    <w:rsid w:val="00542BCE"/>
    <w:rsid w:val="005432A9"/>
    <w:rsid w:val="00544647"/>
    <w:rsid w:val="00545A15"/>
    <w:rsid w:val="005462D6"/>
    <w:rsid w:val="00546F37"/>
    <w:rsid w:val="00547547"/>
    <w:rsid w:val="0054797D"/>
    <w:rsid w:val="005507BD"/>
    <w:rsid w:val="00551607"/>
    <w:rsid w:val="00551CFC"/>
    <w:rsid w:val="005539C2"/>
    <w:rsid w:val="00553B02"/>
    <w:rsid w:val="00554A8E"/>
    <w:rsid w:val="0055685E"/>
    <w:rsid w:val="00556DF4"/>
    <w:rsid w:val="00556F1C"/>
    <w:rsid w:val="00557108"/>
    <w:rsid w:val="005575C7"/>
    <w:rsid w:val="005576E2"/>
    <w:rsid w:val="005605BD"/>
    <w:rsid w:val="0056120E"/>
    <w:rsid w:val="00561D42"/>
    <w:rsid w:val="00562B59"/>
    <w:rsid w:val="00562F90"/>
    <w:rsid w:val="0056303E"/>
    <w:rsid w:val="005640AF"/>
    <w:rsid w:val="005647E0"/>
    <w:rsid w:val="00564885"/>
    <w:rsid w:val="005657F0"/>
    <w:rsid w:val="00565B81"/>
    <w:rsid w:val="00566739"/>
    <w:rsid w:val="0056697E"/>
    <w:rsid w:val="00566A53"/>
    <w:rsid w:val="0056717A"/>
    <w:rsid w:val="005672D8"/>
    <w:rsid w:val="0057013D"/>
    <w:rsid w:val="00570259"/>
    <w:rsid w:val="00570D0A"/>
    <w:rsid w:val="00570EF4"/>
    <w:rsid w:val="0057102E"/>
    <w:rsid w:val="0057200E"/>
    <w:rsid w:val="0057202B"/>
    <w:rsid w:val="00572231"/>
    <w:rsid w:val="0057277D"/>
    <w:rsid w:val="00573652"/>
    <w:rsid w:val="00573661"/>
    <w:rsid w:val="005737CD"/>
    <w:rsid w:val="005738C3"/>
    <w:rsid w:val="00574A05"/>
    <w:rsid w:val="00574F6A"/>
    <w:rsid w:val="00575440"/>
    <w:rsid w:val="0057603A"/>
    <w:rsid w:val="0057645B"/>
    <w:rsid w:val="005769A7"/>
    <w:rsid w:val="005775E2"/>
    <w:rsid w:val="0058031F"/>
    <w:rsid w:val="00580A95"/>
    <w:rsid w:val="00581A97"/>
    <w:rsid w:val="00581C28"/>
    <w:rsid w:val="00584251"/>
    <w:rsid w:val="00584268"/>
    <w:rsid w:val="00584462"/>
    <w:rsid w:val="00584C81"/>
    <w:rsid w:val="005851AB"/>
    <w:rsid w:val="0058542D"/>
    <w:rsid w:val="00585652"/>
    <w:rsid w:val="00585C13"/>
    <w:rsid w:val="005860E8"/>
    <w:rsid w:val="0058617A"/>
    <w:rsid w:val="0058737E"/>
    <w:rsid w:val="0058757B"/>
    <w:rsid w:val="0059008A"/>
    <w:rsid w:val="005909DA"/>
    <w:rsid w:val="00590B4A"/>
    <w:rsid w:val="00590E49"/>
    <w:rsid w:val="00591D87"/>
    <w:rsid w:val="005929BA"/>
    <w:rsid w:val="0059308D"/>
    <w:rsid w:val="005938A8"/>
    <w:rsid w:val="00593BD3"/>
    <w:rsid w:val="005952CF"/>
    <w:rsid w:val="00596604"/>
    <w:rsid w:val="00596677"/>
    <w:rsid w:val="00596BAB"/>
    <w:rsid w:val="005970B1"/>
    <w:rsid w:val="005A0490"/>
    <w:rsid w:val="005A109D"/>
    <w:rsid w:val="005A1366"/>
    <w:rsid w:val="005A1647"/>
    <w:rsid w:val="005A226C"/>
    <w:rsid w:val="005A415E"/>
    <w:rsid w:val="005A428D"/>
    <w:rsid w:val="005A463B"/>
    <w:rsid w:val="005A4ABD"/>
    <w:rsid w:val="005A4CB4"/>
    <w:rsid w:val="005A4E61"/>
    <w:rsid w:val="005A5F3D"/>
    <w:rsid w:val="005A7426"/>
    <w:rsid w:val="005A7F4E"/>
    <w:rsid w:val="005B020C"/>
    <w:rsid w:val="005B03C8"/>
    <w:rsid w:val="005B0D06"/>
    <w:rsid w:val="005B0E63"/>
    <w:rsid w:val="005B0EA0"/>
    <w:rsid w:val="005B10EE"/>
    <w:rsid w:val="005B1C49"/>
    <w:rsid w:val="005B21DD"/>
    <w:rsid w:val="005B416E"/>
    <w:rsid w:val="005B4281"/>
    <w:rsid w:val="005B45E9"/>
    <w:rsid w:val="005B4AA3"/>
    <w:rsid w:val="005B5116"/>
    <w:rsid w:val="005B5798"/>
    <w:rsid w:val="005B5EF1"/>
    <w:rsid w:val="005B6584"/>
    <w:rsid w:val="005B7424"/>
    <w:rsid w:val="005B759C"/>
    <w:rsid w:val="005B760E"/>
    <w:rsid w:val="005B7E16"/>
    <w:rsid w:val="005C0E2A"/>
    <w:rsid w:val="005C0E5C"/>
    <w:rsid w:val="005C178D"/>
    <w:rsid w:val="005C1AED"/>
    <w:rsid w:val="005C2609"/>
    <w:rsid w:val="005C2B9A"/>
    <w:rsid w:val="005C4645"/>
    <w:rsid w:val="005C5294"/>
    <w:rsid w:val="005C5CC9"/>
    <w:rsid w:val="005C5CE5"/>
    <w:rsid w:val="005C6326"/>
    <w:rsid w:val="005C6797"/>
    <w:rsid w:val="005C691D"/>
    <w:rsid w:val="005D067D"/>
    <w:rsid w:val="005D17BE"/>
    <w:rsid w:val="005D2435"/>
    <w:rsid w:val="005D2FDE"/>
    <w:rsid w:val="005D30D3"/>
    <w:rsid w:val="005D31DC"/>
    <w:rsid w:val="005D3711"/>
    <w:rsid w:val="005D39A1"/>
    <w:rsid w:val="005D39F6"/>
    <w:rsid w:val="005D4428"/>
    <w:rsid w:val="005D4763"/>
    <w:rsid w:val="005D57B1"/>
    <w:rsid w:val="005D5951"/>
    <w:rsid w:val="005D6DB2"/>
    <w:rsid w:val="005D6E32"/>
    <w:rsid w:val="005D742C"/>
    <w:rsid w:val="005D74F3"/>
    <w:rsid w:val="005D779E"/>
    <w:rsid w:val="005D7E5A"/>
    <w:rsid w:val="005E0607"/>
    <w:rsid w:val="005E1E51"/>
    <w:rsid w:val="005E2C87"/>
    <w:rsid w:val="005E2FB8"/>
    <w:rsid w:val="005E4197"/>
    <w:rsid w:val="005E4C49"/>
    <w:rsid w:val="005E604E"/>
    <w:rsid w:val="005E629C"/>
    <w:rsid w:val="005E6B6B"/>
    <w:rsid w:val="005E7342"/>
    <w:rsid w:val="005E768C"/>
    <w:rsid w:val="005E7D1C"/>
    <w:rsid w:val="005E7E0C"/>
    <w:rsid w:val="005F0B79"/>
    <w:rsid w:val="005F118A"/>
    <w:rsid w:val="005F1AE1"/>
    <w:rsid w:val="005F1D32"/>
    <w:rsid w:val="005F1E09"/>
    <w:rsid w:val="005F201C"/>
    <w:rsid w:val="005F21FA"/>
    <w:rsid w:val="005F2AC4"/>
    <w:rsid w:val="005F2B90"/>
    <w:rsid w:val="005F2E1B"/>
    <w:rsid w:val="005F32AC"/>
    <w:rsid w:val="005F339C"/>
    <w:rsid w:val="005F4639"/>
    <w:rsid w:val="005F55AE"/>
    <w:rsid w:val="005F56CF"/>
    <w:rsid w:val="005F6778"/>
    <w:rsid w:val="005F6840"/>
    <w:rsid w:val="005F77DD"/>
    <w:rsid w:val="00600E34"/>
    <w:rsid w:val="00600EF9"/>
    <w:rsid w:val="00601243"/>
    <w:rsid w:val="00601375"/>
    <w:rsid w:val="00601B35"/>
    <w:rsid w:val="0060235A"/>
    <w:rsid w:val="00602CCD"/>
    <w:rsid w:val="00603004"/>
    <w:rsid w:val="006034A7"/>
    <w:rsid w:val="006041CB"/>
    <w:rsid w:val="00604496"/>
    <w:rsid w:val="00604687"/>
    <w:rsid w:val="00604820"/>
    <w:rsid w:val="00604BA5"/>
    <w:rsid w:val="006058FC"/>
    <w:rsid w:val="00606009"/>
    <w:rsid w:val="006064A7"/>
    <w:rsid w:val="00606D43"/>
    <w:rsid w:val="006075EB"/>
    <w:rsid w:val="006078FE"/>
    <w:rsid w:val="00610539"/>
    <w:rsid w:val="006115D6"/>
    <w:rsid w:val="00612A0A"/>
    <w:rsid w:val="00612CDE"/>
    <w:rsid w:val="00613281"/>
    <w:rsid w:val="006135A2"/>
    <w:rsid w:val="00613E26"/>
    <w:rsid w:val="00614006"/>
    <w:rsid w:val="00614A99"/>
    <w:rsid w:val="00615F70"/>
    <w:rsid w:val="0061626F"/>
    <w:rsid w:val="00616433"/>
    <w:rsid w:val="006167B3"/>
    <w:rsid w:val="00617146"/>
    <w:rsid w:val="0061725F"/>
    <w:rsid w:val="0062022A"/>
    <w:rsid w:val="00621276"/>
    <w:rsid w:val="0062128C"/>
    <w:rsid w:val="006218F3"/>
    <w:rsid w:val="00622D1F"/>
    <w:rsid w:val="0062338B"/>
    <w:rsid w:val="006237DD"/>
    <w:rsid w:val="006237DF"/>
    <w:rsid w:val="00623C17"/>
    <w:rsid w:val="006248A2"/>
    <w:rsid w:val="00625EFD"/>
    <w:rsid w:val="00626469"/>
    <w:rsid w:val="00626974"/>
    <w:rsid w:val="00627621"/>
    <w:rsid w:val="006277A4"/>
    <w:rsid w:val="00627B3E"/>
    <w:rsid w:val="00627CB9"/>
    <w:rsid w:val="00627FC1"/>
    <w:rsid w:val="00630573"/>
    <w:rsid w:val="00630DED"/>
    <w:rsid w:val="006312C1"/>
    <w:rsid w:val="00631496"/>
    <w:rsid w:val="006314AA"/>
    <w:rsid w:val="00631543"/>
    <w:rsid w:val="006318E1"/>
    <w:rsid w:val="00631BCA"/>
    <w:rsid w:val="0063302F"/>
    <w:rsid w:val="0063333D"/>
    <w:rsid w:val="00634FDD"/>
    <w:rsid w:val="00636682"/>
    <w:rsid w:val="00636FBD"/>
    <w:rsid w:val="006378CB"/>
    <w:rsid w:val="0063790C"/>
    <w:rsid w:val="00640369"/>
    <w:rsid w:val="00640499"/>
    <w:rsid w:val="006412E9"/>
    <w:rsid w:val="00641E19"/>
    <w:rsid w:val="00642822"/>
    <w:rsid w:val="006429A9"/>
    <w:rsid w:val="00642BAE"/>
    <w:rsid w:val="00642C21"/>
    <w:rsid w:val="0064459E"/>
    <w:rsid w:val="0064526C"/>
    <w:rsid w:val="00645798"/>
    <w:rsid w:val="00647C79"/>
    <w:rsid w:val="00650252"/>
    <w:rsid w:val="006504F7"/>
    <w:rsid w:val="00651220"/>
    <w:rsid w:val="006515F3"/>
    <w:rsid w:val="00651695"/>
    <w:rsid w:val="00653261"/>
    <w:rsid w:val="006536A9"/>
    <w:rsid w:val="00655051"/>
    <w:rsid w:val="00655982"/>
    <w:rsid w:val="00655A2D"/>
    <w:rsid w:val="00656179"/>
    <w:rsid w:val="006569A3"/>
    <w:rsid w:val="00656A73"/>
    <w:rsid w:val="00656BEE"/>
    <w:rsid w:val="006601A3"/>
    <w:rsid w:val="006604D3"/>
    <w:rsid w:val="00662B0C"/>
    <w:rsid w:val="006636F3"/>
    <w:rsid w:val="006642EF"/>
    <w:rsid w:val="0066466B"/>
    <w:rsid w:val="00664D4C"/>
    <w:rsid w:val="00665467"/>
    <w:rsid w:val="00665AF3"/>
    <w:rsid w:val="00666B67"/>
    <w:rsid w:val="00666C57"/>
    <w:rsid w:val="00667C14"/>
    <w:rsid w:val="00670038"/>
    <w:rsid w:val="00670764"/>
    <w:rsid w:val="00670AB6"/>
    <w:rsid w:val="00670F31"/>
    <w:rsid w:val="00671CB3"/>
    <w:rsid w:val="006729B3"/>
    <w:rsid w:val="006729DD"/>
    <w:rsid w:val="006742C4"/>
    <w:rsid w:val="0067548F"/>
    <w:rsid w:val="00675F94"/>
    <w:rsid w:val="0067635E"/>
    <w:rsid w:val="00677BFA"/>
    <w:rsid w:val="00677DFB"/>
    <w:rsid w:val="00680660"/>
    <w:rsid w:val="00680B35"/>
    <w:rsid w:val="00680B48"/>
    <w:rsid w:val="00680BB2"/>
    <w:rsid w:val="006820B4"/>
    <w:rsid w:val="006828F2"/>
    <w:rsid w:val="00682D7D"/>
    <w:rsid w:val="00682D89"/>
    <w:rsid w:val="00682F59"/>
    <w:rsid w:val="0068461E"/>
    <w:rsid w:val="00685ED6"/>
    <w:rsid w:val="00686531"/>
    <w:rsid w:val="00686D84"/>
    <w:rsid w:val="00687048"/>
    <w:rsid w:val="00687F60"/>
    <w:rsid w:val="00690E2B"/>
    <w:rsid w:val="0069334F"/>
    <w:rsid w:val="006948F1"/>
    <w:rsid w:val="006956CE"/>
    <w:rsid w:val="00696362"/>
    <w:rsid w:val="00696508"/>
    <w:rsid w:val="00696F01"/>
    <w:rsid w:val="0069795D"/>
    <w:rsid w:val="00697DD5"/>
    <w:rsid w:val="006A01FF"/>
    <w:rsid w:val="006A0D59"/>
    <w:rsid w:val="006A288D"/>
    <w:rsid w:val="006A2B5D"/>
    <w:rsid w:val="006A364A"/>
    <w:rsid w:val="006A38F3"/>
    <w:rsid w:val="006A3FD2"/>
    <w:rsid w:val="006A4952"/>
    <w:rsid w:val="006A4BC4"/>
    <w:rsid w:val="006A4D9D"/>
    <w:rsid w:val="006A56BE"/>
    <w:rsid w:val="006A6086"/>
    <w:rsid w:val="006A612D"/>
    <w:rsid w:val="006A6268"/>
    <w:rsid w:val="006A6842"/>
    <w:rsid w:val="006A726B"/>
    <w:rsid w:val="006B03BA"/>
    <w:rsid w:val="006B0EF6"/>
    <w:rsid w:val="006B16FF"/>
    <w:rsid w:val="006B19AD"/>
    <w:rsid w:val="006B1E0C"/>
    <w:rsid w:val="006B2202"/>
    <w:rsid w:val="006B2EC3"/>
    <w:rsid w:val="006B3746"/>
    <w:rsid w:val="006B3822"/>
    <w:rsid w:val="006B39A2"/>
    <w:rsid w:val="006B47D3"/>
    <w:rsid w:val="006B4F76"/>
    <w:rsid w:val="006B58E3"/>
    <w:rsid w:val="006B5EAF"/>
    <w:rsid w:val="006B60E2"/>
    <w:rsid w:val="006B7FBA"/>
    <w:rsid w:val="006C0630"/>
    <w:rsid w:val="006C0F3A"/>
    <w:rsid w:val="006C1195"/>
    <w:rsid w:val="006C1C98"/>
    <w:rsid w:val="006C3294"/>
    <w:rsid w:val="006C3659"/>
    <w:rsid w:val="006C3814"/>
    <w:rsid w:val="006C3BAF"/>
    <w:rsid w:val="006C3C9E"/>
    <w:rsid w:val="006C3FB2"/>
    <w:rsid w:val="006C4055"/>
    <w:rsid w:val="006C4303"/>
    <w:rsid w:val="006C43EE"/>
    <w:rsid w:val="006C4674"/>
    <w:rsid w:val="006C4B84"/>
    <w:rsid w:val="006C516A"/>
    <w:rsid w:val="006C5F1B"/>
    <w:rsid w:val="006C62A6"/>
    <w:rsid w:val="006C67B3"/>
    <w:rsid w:val="006C68B8"/>
    <w:rsid w:val="006C6CFC"/>
    <w:rsid w:val="006C77B4"/>
    <w:rsid w:val="006C7AED"/>
    <w:rsid w:val="006C7B29"/>
    <w:rsid w:val="006D02E1"/>
    <w:rsid w:val="006D0434"/>
    <w:rsid w:val="006D0AB9"/>
    <w:rsid w:val="006D1011"/>
    <w:rsid w:val="006D25C6"/>
    <w:rsid w:val="006D26E0"/>
    <w:rsid w:val="006D2AC4"/>
    <w:rsid w:val="006D32BE"/>
    <w:rsid w:val="006D367C"/>
    <w:rsid w:val="006D37A4"/>
    <w:rsid w:val="006D3802"/>
    <w:rsid w:val="006D38BA"/>
    <w:rsid w:val="006D38FA"/>
    <w:rsid w:val="006D3C9C"/>
    <w:rsid w:val="006D5106"/>
    <w:rsid w:val="006D558E"/>
    <w:rsid w:val="006D64FE"/>
    <w:rsid w:val="006D79DD"/>
    <w:rsid w:val="006D7EB3"/>
    <w:rsid w:val="006D7FCB"/>
    <w:rsid w:val="006E0C5B"/>
    <w:rsid w:val="006E0C60"/>
    <w:rsid w:val="006E0DCD"/>
    <w:rsid w:val="006E1ABF"/>
    <w:rsid w:val="006E2589"/>
    <w:rsid w:val="006E2659"/>
    <w:rsid w:val="006E26CB"/>
    <w:rsid w:val="006E299C"/>
    <w:rsid w:val="006E3B23"/>
    <w:rsid w:val="006E4109"/>
    <w:rsid w:val="006E4355"/>
    <w:rsid w:val="006E45D9"/>
    <w:rsid w:val="006E4AEB"/>
    <w:rsid w:val="006E4BB0"/>
    <w:rsid w:val="006E54F1"/>
    <w:rsid w:val="006E5D1F"/>
    <w:rsid w:val="006E6B30"/>
    <w:rsid w:val="006E716F"/>
    <w:rsid w:val="006E7745"/>
    <w:rsid w:val="006F08FE"/>
    <w:rsid w:val="006F093D"/>
    <w:rsid w:val="006F2973"/>
    <w:rsid w:val="006F2C76"/>
    <w:rsid w:val="006F3AED"/>
    <w:rsid w:val="006F4222"/>
    <w:rsid w:val="006F5D55"/>
    <w:rsid w:val="006F60C7"/>
    <w:rsid w:val="006F752C"/>
    <w:rsid w:val="00700039"/>
    <w:rsid w:val="00700268"/>
    <w:rsid w:val="007004E3"/>
    <w:rsid w:val="00700656"/>
    <w:rsid w:val="00700CF4"/>
    <w:rsid w:val="00702885"/>
    <w:rsid w:val="0070328C"/>
    <w:rsid w:val="00703580"/>
    <w:rsid w:val="007037A8"/>
    <w:rsid w:val="0070417A"/>
    <w:rsid w:val="007046B9"/>
    <w:rsid w:val="00704DC0"/>
    <w:rsid w:val="00706124"/>
    <w:rsid w:val="0070722D"/>
    <w:rsid w:val="007077FC"/>
    <w:rsid w:val="00710080"/>
    <w:rsid w:val="0071167B"/>
    <w:rsid w:val="00711A13"/>
    <w:rsid w:val="00711DF0"/>
    <w:rsid w:val="00711F59"/>
    <w:rsid w:val="007128CD"/>
    <w:rsid w:val="00712A94"/>
    <w:rsid w:val="00712EFE"/>
    <w:rsid w:val="00712F6A"/>
    <w:rsid w:val="007145A7"/>
    <w:rsid w:val="00714CEB"/>
    <w:rsid w:val="007152C2"/>
    <w:rsid w:val="00715AA0"/>
    <w:rsid w:val="00716C33"/>
    <w:rsid w:val="00720E08"/>
    <w:rsid w:val="0072131D"/>
    <w:rsid w:val="00722592"/>
    <w:rsid w:val="007233A7"/>
    <w:rsid w:val="00723CD3"/>
    <w:rsid w:val="00724B5F"/>
    <w:rsid w:val="007257A0"/>
    <w:rsid w:val="00726097"/>
    <w:rsid w:val="00726123"/>
    <w:rsid w:val="00726837"/>
    <w:rsid w:val="00726A15"/>
    <w:rsid w:val="0073033B"/>
    <w:rsid w:val="00730824"/>
    <w:rsid w:val="00730CC2"/>
    <w:rsid w:val="00731E48"/>
    <w:rsid w:val="00733E8C"/>
    <w:rsid w:val="00733FAC"/>
    <w:rsid w:val="007343AC"/>
    <w:rsid w:val="0073462F"/>
    <w:rsid w:val="007346C1"/>
    <w:rsid w:val="0073596C"/>
    <w:rsid w:val="00735BDB"/>
    <w:rsid w:val="00735E89"/>
    <w:rsid w:val="00736488"/>
    <w:rsid w:val="007367EC"/>
    <w:rsid w:val="007404BA"/>
    <w:rsid w:val="0074091A"/>
    <w:rsid w:val="00740F4A"/>
    <w:rsid w:val="00741012"/>
    <w:rsid w:val="007412B3"/>
    <w:rsid w:val="00741B8E"/>
    <w:rsid w:val="00742B86"/>
    <w:rsid w:val="00743F9B"/>
    <w:rsid w:val="00744451"/>
    <w:rsid w:val="0074456C"/>
    <w:rsid w:val="0074474A"/>
    <w:rsid w:val="00744CDD"/>
    <w:rsid w:val="00744D85"/>
    <w:rsid w:val="0074519A"/>
    <w:rsid w:val="00745215"/>
    <w:rsid w:val="00745A91"/>
    <w:rsid w:val="007460B7"/>
    <w:rsid w:val="00747B97"/>
    <w:rsid w:val="00747D82"/>
    <w:rsid w:val="00747FD6"/>
    <w:rsid w:val="0075048B"/>
    <w:rsid w:val="00750526"/>
    <w:rsid w:val="007508B3"/>
    <w:rsid w:val="00750A5B"/>
    <w:rsid w:val="007517A3"/>
    <w:rsid w:val="00752356"/>
    <w:rsid w:val="00752610"/>
    <w:rsid w:val="00752E7E"/>
    <w:rsid w:val="00754250"/>
    <w:rsid w:val="00754A4F"/>
    <w:rsid w:val="0075502B"/>
    <w:rsid w:val="00755C0C"/>
    <w:rsid w:val="00755D16"/>
    <w:rsid w:val="0075649C"/>
    <w:rsid w:val="00756FC3"/>
    <w:rsid w:val="00757323"/>
    <w:rsid w:val="00757343"/>
    <w:rsid w:val="00760DD0"/>
    <w:rsid w:val="00761513"/>
    <w:rsid w:val="0076238E"/>
    <w:rsid w:val="007633F4"/>
    <w:rsid w:val="00763854"/>
    <w:rsid w:val="00763D37"/>
    <w:rsid w:val="007641BB"/>
    <w:rsid w:val="007642F9"/>
    <w:rsid w:val="00764938"/>
    <w:rsid w:val="00764C50"/>
    <w:rsid w:val="007650FF"/>
    <w:rsid w:val="00765E28"/>
    <w:rsid w:val="00765ED5"/>
    <w:rsid w:val="007660ED"/>
    <w:rsid w:val="0076645B"/>
    <w:rsid w:val="00766786"/>
    <w:rsid w:val="00767F50"/>
    <w:rsid w:val="0077020B"/>
    <w:rsid w:val="00770631"/>
    <w:rsid w:val="00770BDF"/>
    <w:rsid w:val="007725A2"/>
    <w:rsid w:val="00772A61"/>
    <w:rsid w:val="00772C26"/>
    <w:rsid w:val="00773414"/>
    <w:rsid w:val="00773F25"/>
    <w:rsid w:val="0077453D"/>
    <w:rsid w:val="0077455D"/>
    <w:rsid w:val="0077476E"/>
    <w:rsid w:val="0077580D"/>
    <w:rsid w:val="00776025"/>
    <w:rsid w:val="0077612C"/>
    <w:rsid w:val="007764D8"/>
    <w:rsid w:val="007767E7"/>
    <w:rsid w:val="0077696A"/>
    <w:rsid w:val="00776C10"/>
    <w:rsid w:val="00776FBE"/>
    <w:rsid w:val="0077711B"/>
    <w:rsid w:val="00777A45"/>
    <w:rsid w:val="00777DF1"/>
    <w:rsid w:val="00777F47"/>
    <w:rsid w:val="00777F49"/>
    <w:rsid w:val="00780527"/>
    <w:rsid w:val="007808E9"/>
    <w:rsid w:val="00780ED6"/>
    <w:rsid w:val="00781A24"/>
    <w:rsid w:val="007821D8"/>
    <w:rsid w:val="00784097"/>
    <w:rsid w:val="0078477D"/>
    <w:rsid w:val="00784798"/>
    <w:rsid w:val="007854D4"/>
    <w:rsid w:val="00786B50"/>
    <w:rsid w:val="00786C4A"/>
    <w:rsid w:val="0078760F"/>
    <w:rsid w:val="00787FA1"/>
    <w:rsid w:val="0079027C"/>
    <w:rsid w:val="007903A5"/>
    <w:rsid w:val="00790F5A"/>
    <w:rsid w:val="007912D2"/>
    <w:rsid w:val="00791B92"/>
    <w:rsid w:val="00792EC6"/>
    <w:rsid w:val="00793973"/>
    <w:rsid w:val="00793C93"/>
    <w:rsid w:val="00793EA7"/>
    <w:rsid w:val="007942EB"/>
    <w:rsid w:val="00794A13"/>
    <w:rsid w:val="00794CDC"/>
    <w:rsid w:val="00794EBE"/>
    <w:rsid w:val="00795532"/>
    <w:rsid w:val="007956FD"/>
    <w:rsid w:val="007959FF"/>
    <w:rsid w:val="00795F40"/>
    <w:rsid w:val="007966CF"/>
    <w:rsid w:val="0079750C"/>
    <w:rsid w:val="00797CB2"/>
    <w:rsid w:val="007A079D"/>
    <w:rsid w:val="007A10FA"/>
    <w:rsid w:val="007A1D0B"/>
    <w:rsid w:val="007A2096"/>
    <w:rsid w:val="007A209E"/>
    <w:rsid w:val="007A32DD"/>
    <w:rsid w:val="007A34AE"/>
    <w:rsid w:val="007A42A7"/>
    <w:rsid w:val="007A430C"/>
    <w:rsid w:val="007A5EA0"/>
    <w:rsid w:val="007A646F"/>
    <w:rsid w:val="007A7188"/>
    <w:rsid w:val="007A7779"/>
    <w:rsid w:val="007A79A2"/>
    <w:rsid w:val="007A7BA9"/>
    <w:rsid w:val="007B07C4"/>
    <w:rsid w:val="007B1C08"/>
    <w:rsid w:val="007B1C1B"/>
    <w:rsid w:val="007B239A"/>
    <w:rsid w:val="007B2C56"/>
    <w:rsid w:val="007B3592"/>
    <w:rsid w:val="007B4066"/>
    <w:rsid w:val="007B4587"/>
    <w:rsid w:val="007B57BE"/>
    <w:rsid w:val="007B5FFB"/>
    <w:rsid w:val="007B64EC"/>
    <w:rsid w:val="007B66C6"/>
    <w:rsid w:val="007B675F"/>
    <w:rsid w:val="007B7874"/>
    <w:rsid w:val="007B7DEB"/>
    <w:rsid w:val="007C01EB"/>
    <w:rsid w:val="007C073A"/>
    <w:rsid w:val="007C1227"/>
    <w:rsid w:val="007C1EDA"/>
    <w:rsid w:val="007C266B"/>
    <w:rsid w:val="007C3B57"/>
    <w:rsid w:val="007C5134"/>
    <w:rsid w:val="007C54D4"/>
    <w:rsid w:val="007C5668"/>
    <w:rsid w:val="007C56DA"/>
    <w:rsid w:val="007C56E9"/>
    <w:rsid w:val="007C620D"/>
    <w:rsid w:val="007C64CC"/>
    <w:rsid w:val="007C6A1F"/>
    <w:rsid w:val="007D0366"/>
    <w:rsid w:val="007D050D"/>
    <w:rsid w:val="007D075B"/>
    <w:rsid w:val="007D0C99"/>
    <w:rsid w:val="007D1BED"/>
    <w:rsid w:val="007D1D5E"/>
    <w:rsid w:val="007D2C54"/>
    <w:rsid w:val="007D4100"/>
    <w:rsid w:val="007D587E"/>
    <w:rsid w:val="007D590D"/>
    <w:rsid w:val="007D67D9"/>
    <w:rsid w:val="007D6ADF"/>
    <w:rsid w:val="007D73F6"/>
    <w:rsid w:val="007D7864"/>
    <w:rsid w:val="007E0186"/>
    <w:rsid w:val="007E048D"/>
    <w:rsid w:val="007E09CF"/>
    <w:rsid w:val="007E0A86"/>
    <w:rsid w:val="007E1B21"/>
    <w:rsid w:val="007E1D1D"/>
    <w:rsid w:val="007E1F37"/>
    <w:rsid w:val="007E21F4"/>
    <w:rsid w:val="007E25F5"/>
    <w:rsid w:val="007E3161"/>
    <w:rsid w:val="007E3CB9"/>
    <w:rsid w:val="007E3EFA"/>
    <w:rsid w:val="007E4696"/>
    <w:rsid w:val="007E46C0"/>
    <w:rsid w:val="007E548D"/>
    <w:rsid w:val="007E5C21"/>
    <w:rsid w:val="007E627F"/>
    <w:rsid w:val="007E6BE7"/>
    <w:rsid w:val="007E753C"/>
    <w:rsid w:val="007F0629"/>
    <w:rsid w:val="007F084A"/>
    <w:rsid w:val="007F0FC4"/>
    <w:rsid w:val="007F1108"/>
    <w:rsid w:val="007F179F"/>
    <w:rsid w:val="007F1B29"/>
    <w:rsid w:val="007F2F07"/>
    <w:rsid w:val="007F4AD0"/>
    <w:rsid w:val="007F5563"/>
    <w:rsid w:val="007F6790"/>
    <w:rsid w:val="007F7C30"/>
    <w:rsid w:val="0080299F"/>
    <w:rsid w:val="00802B2D"/>
    <w:rsid w:val="00802B47"/>
    <w:rsid w:val="00802DB6"/>
    <w:rsid w:val="00802E86"/>
    <w:rsid w:val="008031A9"/>
    <w:rsid w:val="00803508"/>
    <w:rsid w:val="00803BDF"/>
    <w:rsid w:val="00804AE4"/>
    <w:rsid w:val="00804D1D"/>
    <w:rsid w:val="00805A87"/>
    <w:rsid w:val="00806607"/>
    <w:rsid w:val="00806AB2"/>
    <w:rsid w:val="00806C3A"/>
    <w:rsid w:val="00807466"/>
    <w:rsid w:val="00807CEB"/>
    <w:rsid w:val="00807EF6"/>
    <w:rsid w:val="008116BB"/>
    <w:rsid w:val="00811AB7"/>
    <w:rsid w:val="00811CBE"/>
    <w:rsid w:val="0081288E"/>
    <w:rsid w:val="008129CC"/>
    <w:rsid w:val="00812E92"/>
    <w:rsid w:val="008134E9"/>
    <w:rsid w:val="00813EA1"/>
    <w:rsid w:val="008146B7"/>
    <w:rsid w:val="00814FFF"/>
    <w:rsid w:val="008150EC"/>
    <w:rsid w:val="00816933"/>
    <w:rsid w:val="00816F91"/>
    <w:rsid w:val="00816FD5"/>
    <w:rsid w:val="008178CE"/>
    <w:rsid w:val="00817EBF"/>
    <w:rsid w:val="00821440"/>
    <w:rsid w:val="008214AF"/>
    <w:rsid w:val="008214C4"/>
    <w:rsid w:val="008218C4"/>
    <w:rsid w:val="00821A46"/>
    <w:rsid w:val="008229BA"/>
    <w:rsid w:val="00822C82"/>
    <w:rsid w:val="0082300C"/>
    <w:rsid w:val="008233B1"/>
    <w:rsid w:val="008235D0"/>
    <w:rsid w:val="00823A72"/>
    <w:rsid w:val="0082609E"/>
    <w:rsid w:val="008261BB"/>
    <w:rsid w:val="008267DB"/>
    <w:rsid w:val="008275F0"/>
    <w:rsid w:val="008276D8"/>
    <w:rsid w:val="00827803"/>
    <w:rsid w:val="00827D99"/>
    <w:rsid w:val="00830854"/>
    <w:rsid w:val="00830BE7"/>
    <w:rsid w:val="00830C8C"/>
    <w:rsid w:val="00830CEA"/>
    <w:rsid w:val="00831CD8"/>
    <w:rsid w:val="00831E48"/>
    <w:rsid w:val="008321BA"/>
    <w:rsid w:val="00832855"/>
    <w:rsid w:val="00832C3A"/>
    <w:rsid w:val="00832C40"/>
    <w:rsid w:val="00833246"/>
    <w:rsid w:val="00833264"/>
    <w:rsid w:val="0083374B"/>
    <w:rsid w:val="0083391D"/>
    <w:rsid w:val="008348B4"/>
    <w:rsid w:val="0083537A"/>
    <w:rsid w:val="008357D6"/>
    <w:rsid w:val="008357DC"/>
    <w:rsid w:val="008361F3"/>
    <w:rsid w:val="008363BA"/>
    <w:rsid w:val="0083662A"/>
    <w:rsid w:val="00836818"/>
    <w:rsid w:val="008405E7"/>
    <w:rsid w:val="00840936"/>
    <w:rsid w:val="00841264"/>
    <w:rsid w:val="008419F1"/>
    <w:rsid w:val="00841E43"/>
    <w:rsid w:val="00842F96"/>
    <w:rsid w:val="00843E57"/>
    <w:rsid w:val="00844677"/>
    <w:rsid w:val="00844ACA"/>
    <w:rsid w:val="008458A1"/>
    <w:rsid w:val="008462B5"/>
    <w:rsid w:val="00846711"/>
    <w:rsid w:val="00846741"/>
    <w:rsid w:val="00847293"/>
    <w:rsid w:val="00847A22"/>
    <w:rsid w:val="00850E8E"/>
    <w:rsid w:val="00850EBA"/>
    <w:rsid w:val="00851149"/>
    <w:rsid w:val="00852528"/>
    <w:rsid w:val="008525EF"/>
    <w:rsid w:val="00853188"/>
    <w:rsid w:val="008537B3"/>
    <w:rsid w:val="00854173"/>
    <w:rsid w:val="00854720"/>
    <w:rsid w:val="00854E2E"/>
    <w:rsid w:val="00854F20"/>
    <w:rsid w:val="008554EA"/>
    <w:rsid w:val="008555F0"/>
    <w:rsid w:val="0085663A"/>
    <w:rsid w:val="0085722F"/>
    <w:rsid w:val="008577EF"/>
    <w:rsid w:val="00857B6B"/>
    <w:rsid w:val="00857D2E"/>
    <w:rsid w:val="00860682"/>
    <w:rsid w:val="008614EE"/>
    <w:rsid w:val="0086169A"/>
    <w:rsid w:val="00861BFA"/>
    <w:rsid w:val="00861D66"/>
    <w:rsid w:val="00862190"/>
    <w:rsid w:val="00862776"/>
    <w:rsid w:val="00863455"/>
    <w:rsid w:val="00863C4E"/>
    <w:rsid w:val="00863CFE"/>
    <w:rsid w:val="0086440D"/>
    <w:rsid w:val="0086489D"/>
    <w:rsid w:val="008649E1"/>
    <w:rsid w:val="00864F05"/>
    <w:rsid w:val="0086592D"/>
    <w:rsid w:val="00865FCA"/>
    <w:rsid w:val="00867438"/>
    <w:rsid w:val="00867FD2"/>
    <w:rsid w:val="008701C6"/>
    <w:rsid w:val="008701D5"/>
    <w:rsid w:val="0087085A"/>
    <w:rsid w:val="00870A92"/>
    <w:rsid w:val="0087118C"/>
    <w:rsid w:val="00871B21"/>
    <w:rsid w:val="00871E3D"/>
    <w:rsid w:val="0087289C"/>
    <w:rsid w:val="00872C32"/>
    <w:rsid w:val="008732EF"/>
    <w:rsid w:val="0087348B"/>
    <w:rsid w:val="00873C17"/>
    <w:rsid w:val="00874097"/>
    <w:rsid w:val="008742EB"/>
    <w:rsid w:val="008743EC"/>
    <w:rsid w:val="00875C83"/>
    <w:rsid w:val="00876079"/>
    <w:rsid w:val="00876A66"/>
    <w:rsid w:val="00877A32"/>
    <w:rsid w:val="008800CA"/>
    <w:rsid w:val="00880118"/>
    <w:rsid w:val="0088021D"/>
    <w:rsid w:val="0088055F"/>
    <w:rsid w:val="008811F8"/>
    <w:rsid w:val="008819F6"/>
    <w:rsid w:val="00881DFD"/>
    <w:rsid w:val="00881EA1"/>
    <w:rsid w:val="008822B6"/>
    <w:rsid w:val="008823CF"/>
    <w:rsid w:val="00883394"/>
    <w:rsid w:val="00883BA0"/>
    <w:rsid w:val="00883D67"/>
    <w:rsid w:val="008844AD"/>
    <w:rsid w:val="00884B7B"/>
    <w:rsid w:val="008854CE"/>
    <w:rsid w:val="008855EF"/>
    <w:rsid w:val="00885792"/>
    <w:rsid w:val="0088596C"/>
    <w:rsid w:val="00885A88"/>
    <w:rsid w:val="00886421"/>
    <w:rsid w:val="0088696A"/>
    <w:rsid w:val="00886A44"/>
    <w:rsid w:val="00886C18"/>
    <w:rsid w:val="00887379"/>
    <w:rsid w:val="00890451"/>
    <w:rsid w:val="0089173A"/>
    <w:rsid w:val="00892627"/>
    <w:rsid w:val="00892AD8"/>
    <w:rsid w:val="00892EB2"/>
    <w:rsid w:val="0089317F"/>
    <w:rsid w:val="00893970"/>
    <w:rsid w:val="00893EDE"/>
    <w:rsid w:val="00894706"/>
    <w:rsid w:val="00894F9E"/>
    <w:rsid w:val="00896581"/>
    <w:rsid w:val="0089672B"/>
    <w:rsid w:val="00896F78"/>
    <w:rsid w:val="008970F9"/>
    <w:rsid w:val="0089710F"/>
    <w:rsid w:val="008977E8"/>
    <w:rsid w:val="00897D61"/>
    <w:rsid w:val="00897EBA"/>
    <w:rsid w:val="00897EFF"/>
    <w:rsid w:val="008A0664"/>
    <w:rsid w:val="008A0FAC"/>
    <w:rsid w:val="008A1544"/>
    <w:rsid w:val="008A1580"/>
    <w:rsid w:val="008A1F08"/>
    <w:rsid w:val="008A24B6"/>
    <w:rsid w:val="008A24E2"/>
    <w:rsid w:val="008A35D6"/>
    <w:rsid w:val="008A3771"/>
    <w:rsid w:val="008A3902"/>
    <w:rsid w:val="008A3B7C"/>
    <w:rsid w:val="008A419F"/>
    <w:rsid w:val="008A4536"/>
    <w:rsid w:val="008A4A7F"/>
    <w:rsid w:val="008A4D67"/>
    <w:rsid w:val="008A4DA5"/>
    <w:rsid w:val="008A5751"/>
    <w:rsid w:val="008A601E"/>
    <w:rsid w:val="008A6918"/>
    <w:rsid w:val="008B010A"/>
    <w:rsid w:val="008B0833"/>
    <w:rsid w:val="008B1F03"/>
    <w:rsid w:val="008B2268"/>
    <w:rsid w:val="008B261D"/>
    <w:rsid w:val="008B297D"/>
    <w:rsid w:val="008B2E78"/>
    <w:rsid w:val="008B3BAE"/>
    <w:rsid w:val="008B5109"/>
    <w:rsid w:val="008B5AED"/>
    <w:rsid w:val="008B6D1A"/>
    <w:rsid w:val="008B6EA9"/>
    <w:rsid w:val="008B796B"/>
    <w:rsid w:val="008B7BB4"/>
    <w:rsid w:val="008C0D18"/>
    <w:rsid w:val="008C171B"/>
    <w:rsid w:val="008C1D78"/>
    <w:rsid w:val="008C2608"/>
    <w:rsid w:val="008C27BB"/>
    <w:rsid w:val="008C34C2"/>
    <w:rsid w:val="008C3AF3"/>
    <w:rsid w:val="008C3EF9"/>
    <w:rsid w:val="008C461D"/>
    <w:rsid w:val="008C4F24"/>
    <w:rsid w:val="008C540F"/>
    <w:rsid w:val="008C55C2"/>
    <w:rsid w:val="008C5C18"/>
    <w:rsid w:val="008C60B2"/>
    <w:rsid w:val="008C61CB"/>
    <w:rsid w:val="008C6C61"/>
    <w:rsid w:val="008D0519"/>
    <w:rsid w:val="008D1240"/>
    <w:rsid w:val="008D18BF"/>
    <w:rsid w:val="008D1B7C"/>
    <w:rsid w:val="008D1EAF"/>
    <w:rsid w:val="008D2CF4"/>
    <w:rsid w:val="008D4068"/>
    <w:rsid w:val="008D4084"/>
    <w:rsid w:val="008D4DC6"/>
    <w:rsid w:val="008D61E3"/>
    <w:rsid w:val="008D627F"/>
    <w:rsid w:val="008D6715"/>
    <w:rsid w:val="008D7782"/>
    <w:rsid w:val="008D787E"/>
    <w:rsid w:val="008D78CF"/>
    <w:rsid w:val="008D79D8"/>
    <w:rsid w:val="008D7E12"/>
    <w:rsid w:val="008D7FEB"/>
    <w:rsid w:val="008E0127"/>
    <w:rsid w:val="008E0572"/>
    <w:rsid w:val="008E2CED"/>
    <w:rsid w:val="008E2EF3"/>
    <w:rsid w:val="008E3208"/>
    <w:rsid w:val="008E3AD8"/>
    <w:rsid w:val="008E3CF5"/>
    <w:rsid w:val="008E4221"/>
    <w:rsid w:val="008E4335"/>
    <w:rsid w:val="008E5840"/>
    <w:rsid w:val="008E5D1F"/>
    <w:rsid w:val="008E6863"/>
    <w:rsid w:val="008E757D"/>
    <w:rsid w:val="008E7965"/>
    <w:rsid w:val="008F0E1C"/>
    <w:rsid w:val="008F0F67"/>
    <w:rsid w:val="008F12F3"/>
    <w:rsid w:val="008F222F"/>
    <w:rsid w:val="008F23A8"/>
    <w:rsid w:val="008F29AF"/>
    <w:rsid w:val="008F3798"/>
    <w:rsid w:val="008F41D2"/>
    <w:rsid w:val="008F5026"/>
    <w:rsid w:val="008F5409"/>
    <w:rsid w:val="008F5FF7"/>
    <w:rsid w:val="008F6528"/>
    <w:rsid w:val="008F66A2"/>
    <w:rsid w:val="008F6EE3"/>
    <w:rsid w:val="008F7018"/>
    <w:rsid w:val="00900992"/>
    <w:rsid w:val="00900EB4"/>
    <w:rsid w:val="009011DF"/>
    <w:rsid w:val="00901C40"/>
    <w:rsid w:val="009034BF"/>
    <w:rsid w:val="00904016"/>
    <w:rsid w:val="00904355"/>
    <w:rsid w:val="00904843"/>
    <w:rsid w:val="0090557C"/>
    <w:rsid w:val="009057E2"/>
    <w:rsid w:val="0090611C"/>
    <w:rsid w:val="00907005"/>
    <w:rsid w:val="00907370"/>
    <w:rsid w:val="009073D2"/>
    <w:rsid w:val="0090742F"/>
    <w:rsid w:val="0091099F"/>
    <w:rsid w:val="00910A84"/>
    <w:rsid w:val="00910A98"/>
    <w:rsid w:val="009112D8"/>
    <w:rsid w:val="00912096"/>
    <w:rsid w:val="00913359"/>
    <w:rsid w:val="00913545"/>
    <w:rsid w:val="00913FDF"/>
    <w:rsid w:val="00914FED"/>
    <w:rsid w:val="0091516C"/>
    <w:rsid w:val="00915675"/>
    <w:rsid w:val="00915786"/>
    <w:rsid w:val="009157C3"/>
    <w:rsid w:val="00915D90"/>
    <w:rsid w:val="009166E9"/>
    <w:rsid w:val="00916971"/>
    <w:rsid w:val="00916D52"/>
    <w:rsid w:val="00916D58"/>
    <w:rsid w:val="0092022A"/>
    <w:rsid w:val="0092067A"/>
    <w:rsid w:val="00921021"/>
    <w:rsid w:val="00922434"/>
    <w:rsid w:val="0092275E"/>
    <w:rsid w:val="00922929"/>
    <w:rsid w:val="009229F7"/>
    <w:rsid w:val="00922DE0"/>
    <w:rsid w:val="0092384C"/>
    <w:rsid w:val="00923943"/>
    <w:rsid w:val="009240D8"/>
    <w:rsid w:val="009242E5"/>
    <w:rsid w:val="00927225"/>
    <w:rsid w:val="00927F06"/>
    <w:rsid w:val="009300A6"/>
    <w:rsid w:val="00930841"/>
    <w:rsid w:val="00931211"/>
    <w:rsid w:val="00931D6A"/>
    <w:rsid w:val="0093303F"/>
    <w:rsid w:val="009341D1"/>
    <w:rsid w:val="00934A2F"/>
    <w:rsid w:val="00935193"/>
    <w:rsid w:val="00937E69"/>
    <w:rsid w:val="009401B2"/>
    <w:rsid w:val="00940589"/>
    <w:rsid w:val="00941299"/>
    <w:rsid w:val="00941D9F"/>
    <w:rsid w:val="0094216A"/>
    <w:rsid w:val="009424B4"/>
    <w:rsid w:val="0094271D"/>
    <w:rsid w:val="00943305"/>
    <w:rsid w:val="0094515D"/>
    <w:rsid w:val="009452BE"/>
    <w:rsid w:val="0094539D"/>
    <w:rsid w:val="0094604A"/>
    <w:rsid w:val="00947D94"/>
    <w:rsid w:val="0095037E"/>
    <w:rsid w:val="0095148F"/>
    <w:rsid w:val="009516D5"/>
    <w:rsid w:val="009516F8"/>
    <w:rsid w:val="00951753"/>
    <w:rsid w:val="00951828"/>
    <w:rsid w:val="0095262A"/>
    <w:rsid w:val="00953E75"/>
    <w:rsid w:val="00954D5F"/>
    <w:rsid w:val="00954F14"/>
    <w:rsid w:val="00954F5E"/>
    <w:rsid w:val="00955680"/>
    <w:rsid w:val="0095603A"/>
    <w:rsid w:val="009560D8"/>
    <w:rsid w:val="009576AD"/>
    <w:rsid w:val="00957EC9"/>
    <w:rsid w:val="00960F40"/>
    <w:rsid w:val="00961429"/>
    <w:rsid w:val="009615D9"/>
    <w:rsid w:val="00962744"/>
    <w:rsid w:val="00962AD5"/>
    <w:rsid w:val="009631ED"/>
    <w:rsid w:val="00963C05"/>
    <w:rsid w:val="00964021"/>
    <w:rsid w:val="009640C3"/>
    <w:rsid w:val="00964425"/>
    <w:rsid w:val="0096478F"/>
    <w:rsid w:val="00965252"/>
    <w:rsid w:val="0096556B"/>
    <w:rsid w:val="009657F3"/>
    <w:rsid w:val="0096593D"/>
    <w:rsid w:val="00965FD4"/>
    <w:rsid w:val="00966124"/>
    <w:rsid w:val="00966CD8"/>
    <w:rsid w:val="009677B1"/>
    <w:rsid w:val="009677BC"/>
    <w:rsid w:val="00967859"/>
    <w:rsid w:val="0096795C"/>
    <w:rsid w:val="009708AD"/>
    <w:rsid w:val="00970CE9"/>
    <w:rsid w:val="009715C9"/>
    <w:rsid w:val="009715E8"/>
    <w:rsid w:val="009718C7"/>
    <w:rsid w:val="00971E32"/>
    <w:rsid w:val="00972621"/>
    <w:rsid w:val="009741E1"/>
    <w:rsid w:val="009744FA"/>
    <w:rsid w:val="0097507F"/>
    <w:rsid w:val="00975201"/>
    <w:rsid w:val="009756E0"/>
    <w:rsid w:val="00975C44"/>
    <w:rsid w:val="00975DDE"/>
    <w:rsid w:val="00976AE6"/>
    <w:rsid w:val="00976F63"/>
    <w:rsid w:val="0097756C"/>
    <w:rsid w:val="00977DA9"/>
    <w:rsid w:val="00980D88"/>
    <w:rsid w:val="00980E04"/>
    <w:rsid w:val="00981801"/>
    <w:rsid w:val="00981955"/>
    <w:rsid w:val="00981B85"/>
    <w:rsid w:val="00981E23"/>
    <w:rsid w:val="0098215E"/>
    <w:rsid w:val="009829D6"/>
    <w:rsid w:val="00983021"/>
    <w:rsid w:val="00984AC0"/>
    <w:rsid w:val="00986639"/>
    <w:rsid w:val="009866CA"/>
    <w:rsid w:val="00986DE5"/>
    <w:rsid w:val="009902A4"/>
    <w:rsid w:val="00990543"/>
    <w:rsid w:val="009917EF"/>
    <w:rsid w:val="0099203B"/>
    <w:rsid w:val="0099244B"/>
    <w:rsid w:val="00992554"/>
    <w:rsid w:val="009926A8"/>
    <w:rsid w:val="009940CB"/>
    <w:rsid w:val="009951BB"/>
    <w:rsid w:val="0099530F"/>
    <w:rsid w:val="00995369"/>
    <w:rsid w:val="00995C0F"/>
    <w:rsid w:val="009965D9"/>
    <w:rsid w:val="00996BCF"/>
    <w:rsid w:val="00997A4E"/>
    <w:rsid w:val="009A04AB"/>
    <w:rsid w:val="009A131A"/>
    <w:rsid w:val="009A1740"/>
    <w:rsid w:val="009A193C"/>
    <w:rsid w:val="009A1A13"/>
    <w:rsid w:val="009A1E16"/>
    <w:rsid w:val="009A1EC5"/>
    <w:rsid w:val="009A2A00"/>
    <w:rsid w:val="009A3B4B"/>
    <w:rsid w:val="009A3B59"/>
    <w:rsid w:val="009A5FFE"/>
    <w:rsid w:val="009A6229"/>
    <w:rsid w:val="009A6792"/>
    <w:rsid w:val="009A6978"/>
    <w:rsid w:val="009A724B"/>
    <w:rsid w:val="009A749F"/>
    <w:rsid w:val="009A7AE7"/>
    <w:rsid w:val="009A7D67"/>
    <w:rsid w:val="009B046A"/>
    <w:rsid w:val="009B088B"/>
    <w:rsid w:val="009B0C92"/>
    <w:rsid w:val="009B0E17"/>
    <w:rsid w:val="009B1992"/>
    <w:rsid w:val="009B1E20"/>
    <w:rsid w:val="009B2460"/>
    <w:rsid w:val="009B2BEC"/>
    <w:rsid w:val="009B2D1F"/>
    <w:rsid w:val="009B2F35"/>
    <w:rsid w:val="009B35D2"/>
    <w:rsid w:val="009B38B3"/>
    <w:rsid w:val="009B39B2"/>
    <w:rsid w:val="009B5A59"/>
    <w:rsid w:val="009B624F"/>
    <w:rsid w:val="009B62AA"/>
    <w:rsid w:val="009B663E"/>
    <w:rsid w:val="009B6880"/>
    <w:rsid w:val="009B6A62"/>
    <w:rsid w:val="009B6E28"/>
    <w:rsid w:val="009B7063"/>
    <w:rsid w:val="009B70AF"/>
    <w:rsid w:val="009B784B"/>
    <w:rsid w:val="009B7AF1"/>
    <w:rsid w:val="009C0672"/>
    <w:rsid w:val="009C212E"/>
    <w:rsid w:val="009C2595"/>
    <w:rsid w:val="009C2C4E"/>
    <w:rsid w:val="009C3295"/>
    <w:rsid w:val="009C479B"/>
    <w:rsid w:val="009C53B5"/>
    <w:rsid w:val="009C58DD"/>
    <w:rsid w:val="009C5D87"/>
    <w:rsid w:val="009C6B36"/>
    <w:rsid w:val="009C7C1F"/>
    <w:rsid w:val="009C7D67"/>
    <w:rsid w:val="009C7D80"/>
    <w:rsid w:val="009C7E09"/>
    <w:rsid w:val="009D0907"/>
    <w:rsid w:val="009D0E0A"/>
    <w:rsid w:val="009D15E1"/>
    <w:rsid w:val="009D26B6"/>
    <w:rsid w:val="009D289D"/>
    <w:rsid w:val="009D2BC7"/>
    <w:rsid w:val="009D3CEB"/>
    <w:rsid w:val="009D3F35"/>
    <w:rsid w:val="009D49DB"/>
    <w:rsid w:val="009D4C01"/>
    <w:rsid w:val="009D5414"/>
    <w:rsid w:val="009D6197"/>
    <w:rsid w:val="009D66EE"/>
    <w:rsid w:val="009D6734"/>
    <w:rsid w:val="009D7784"/>
    <w:rsid w:val="009D7873"/>
    <w:rsid w:val="009E03D1"/>
    <w:rsid w:val="009E083F"/>
    <w:rsid w:val="009E0E2D"/>
    <w:rsid w:val="009E17E6"/>
    <w:rsid w:val="009E18CB"/>
    <w:rsid w:val="009E20AF"/>
    <w:rsid w:val="009E2B99"/>
    <w:rsid w:val="009E2FDA"/>
    <w:rsid w:val="009E46A2"/>
    <w:rsid w:val="009E5505"/>
    <w:rsid w:val="009E5F01"/>
    <w:rsid w:val="009E6107"/>
    <w:rsid w:val="009E742F"/>
    <w:rsid w:val="009E7954"/>
    <w:rsid w:val="009E7C32"/>
    <w:rsid w:val="009E7EF6"/>
    <w:rsid w:val="009F0238"/>
    <w:rsid w:val="009F0449"/>
    <w:rsid w:val="009F0482"/>
    <w:rsid w:val="009F0A63"/>
    <w:rsid w:val="009F1758"/>
    <w:rsid w:val="009F18F6"/>
    <w:rsid w:val="009F26B6"/>
    <w:rsid w:val="009F3418"/>
    <w:rsid w:val="009F49EE"/>
    <w:rsid w:val="009F49F4"/>
    <w:rsid w:val="009F6CC0"/>
    <w:rsid w:val="009F6E4C"/>
    <w:rsid w:val="009F76FE"/>
    <w:rsid w:val="00A001EA"/>
    <w:rsid w:val="00A007D9"/>
    <w:rsid w:val="00A00814"/>
    <w:rsid w:val="00A00F13"/>
    <w:rsid w:val="00A01081"/>
    <w:rsid w:val="00A013B5"/>
    <w:rsid w:val="00A02F18"/>
    <w:rsid w:val="00A03A5F"/>
    <w:rsid w:val="00A040F8"/>
    <w:rsid w:val="00A045DC"/>
    <w:rsid w:val="00A051C1"/>
    <w:rsid w:val="00A05879"/>
    <w:rsid w:val="00A065C4"/>
    <w:rsid w:val="00A101AB"/>
    <w:rsid w:val="00A10C69"/>
    <w:rsid w:val="00A128A7"/>
    <w:rsid w:val="00A129D9"/>
    <w:rsid w:val="00A14121"/>
    <w:rsid w:val="00A147BB"/>
    <w:rsid w:val="00A14895"/>
    <w:rsid w:val="00A148AD"/>
    <w:rsid w:val="00A14AB5"/>
    <w:rsid w:val="00A15473"/>
    <w:rsid w:val="00A159E2"/>
    <w:rsid w:val="00A16871"/>
    <w:rsid w:val="00A16C57"/>
    <w:rsid w:val="00A2024D"/>
    <w:rsid w:val="00A21486"/>
    <w:rsid w:val="00A21943"/>
    <w:rsid w:val="00A21E50"/>
    <w:rsid w:val="00A22047"/>
    <w:rsid w:val="00A222FF"/>
    <w:rsid w:val="00A2246B"/>
    <w:rsid w:val="00A22B3A"/>
    <w:rsid w:val="00A22C87"/>
    <w:rsid w:val="00A22F18"/>
    <w:rsid w:val="00A23AF0"/>
    <w:rsid w:val="00A2477F"/>
    <w:rsid w:val="00A24C96"/>
    <w:rsid w:val="00A25255"/>
    <w:rsid w:val="00A255C6"/>
    <w:rsid w:val="00A25E50"/>
    <w:rsid w:val="00A260A0"/>
    <w:rsid w:val="00A27AD9"/>
    <w:rsid w:val="00A27D42"/>
    <w:rsid w:val="00A27DC4"/>
    <w:rsid w:val="00A3027F"/>
    <w:rsid w:val="00A303B6"/>
    <w:rsid w:val="00A3063D"/>
    <w:rsid w:val="00A30A93"/>
    <w:rsid w:val="00A30F36"/>
    <w:rsid w:val="00A322BD"/>
    <w:rsid w:val="00A3250C"/>
    <w:rsid w:val="00A328C6"/>
    <w:rsid w:val="00A32B24"/>
    <w:rsid w:val="00A32D8C"/>
    <w:rsid w:val="00A3332D"/>
    <w:rsid w:val="00A3418C"/>
    <w:rsid w:val="00A35110"/>
    <w:rsid w:val="00A352A1"/>
    <w:rsid w:val="00A3585A"/>
    <w:rsid w:val="00A366D1"/>
    <w:rsid w:val="00A36909"/>
    <w:rsid w:val="00A37200"/>
    <w:rsid w:val="00A413AA"/>
    <w:rsid w:val="00A42DBC"/>
    <w:rsid w:val="00A438C6"/>
    <w:rsid w:val="00A439D5"/>
    <w:rsid w:val="00A4419E"/>
    <w:rsid w:val="00A443FF"/>
    <w:rsid w:val="00A447D3"/>
    <w:rsid w:val="00A44BB4"/>
    <w:rsid w:val="00A462A3"/>
    <w:rsid w:val="00A46380"/>
    <w:rsid w:val="00A46E1D"/>
    <w:rsid w:val="00A4713F"/>
    <w:rsid w:val="00A475DE"/>
    <w:rsid w:val="00A51B7A"/>
    <w:rsid w:val="00A52972"/>
    <w:rsid w:val="00A53D99"/>
    <w:rsid w:val="00A54119"/>
    <w:rsid w:val="00A5423D"/>
    <w:rsid w:val="00A543A5"/>
    <w:rsid w:val="00A546F0"/>
    <w:rsid w:val="00A54733"/>
    <w:rsid w:val="00A54BE4"/>
    <w:rsid w:val="00A55B12"/>
    <w:rsid w:val="00A56034"/>
    <w:rsid w:val="00A56F79"/>
    <w:rsid w:val="00A601D1"/>
    <w:rsid w:val="00A607B4"/>
    <w:rsid w:val="00A60A5E"/>
    <w:rsid w:val="00A61804"/>
    <w:rsid w:val="00A61F2A"/>
    <w:rsid w:val="00A63761"/>
    <w:rsid w:val="00A6428E"/>
    <w:rsid w:val="00A649C7"/>
    <w:rsid w:val="00A64C25"/>
    <w:rsid w:val="00A65222"/>
    <w:rsid w:val="00A653E3"/>
    <w:rsid w:val="00A65ED5"/>
    <w:rsid w:val="00A665A7"/>
    <w:rsid w:val="00A66651"/>
    <w:rsid w:val="00A66805"/>
    <w:rsid w:val="00A672C2"/>
    <w:rsid w:val="00A70335"/>
    <w:rsid w:val="00A70659"/>
    <w:rsid w:val="00A70A09"/>
    <w:rsid w:val="00A70BC4"/>
    <w:rsid w:val="00A70F58"/>
    <w:rsid w:val="00A70F86"/>
    <w:rsid w:val="00A7179B"/>
    <w:rsid w:val="00A71A5F"/>
    <w:rsid w:val="00A71E6A"/>
    <w:rsid w:val="00A72050"/>
    <w:rsid w:val="00A72332"/>
    <w:rsid w:val="00A72850"/>
    <w:rsid w:val="00A7292D"/>
    <w:rsid w:val="00A7402B"/>
    <w:rsid w:val="00A7452C"/>
    <w:rsid w:val="00A748EC"/>
    <w:rsid w:val="00A74FED"/>
    <w:rsid w:val="00A75682"/>
    <w:rsid w:val="00A75BED"/>
    <w:rsid w:val="00A769F6"/>
    <w:rsid w:val="00A76F0E"/>
    <w:rsid w:val="00A77143"/>
    <w:rsid w:val="00A7764C"/>
    <w:rsid w:val="00A77B25"/>
    <w:rsid w:val="00A77F25"/>
    <w:rsid w:val="00A801A4"/>
    <w:rsid w:val="00A813AE"/>
    <w:rsid w:val="00A81BD3"/>
    <w:rsid w:val="00A81D48"/>
    <w:rsid w:val="00A82292"/>
    <w:rsid w:val="00A83080"/>
    <w:rsid w:val="00A830B6"/>
    <w:rsid w:val="00A835F3"/>
    <w:rsid w:val="00A83C22"/>
    <w:rsid w:val="00A8429C"/>
    <w:rsid w:val="00A845FA"/>
    <w:rsid w:val="00A84979"/>
    <w:rsid w:val="00A84B83"/>
    <w:rsid w:val="00A84E83"/>
    <w:rsid w:val="00A85041"/>
    <w:rsid w:val="00A85212"/>
    <w:rsid w:val="00A85A05"/>
    <w:rsid w:val="00A85EE1"/>
    <w:rsid w:val="00A87065"/>
    <w:rsid w:val="00A87E3A"/>
    <w:rsid w:val="00A9044E"/>
    <w:rsid w:val="00A911F7"/>
    <w:rsid w:val="00A9301F"/>
    <w:rsid w:val="00A93245"/>
    <w:rsid w:val="00A933B9"/>
    <w:rsid w:val="00A94C92"/>
    <w:rsid w:val="00A954C5"/>
    <w:rsid w:val="00A95644"/>
    <w:rsid w:val="00A95835"/>
    <w:rsid w:val="00A9603C"/>
    <w:rsid w:val="00A9622B"/>
    <w:rsid w:val="00A972FA"/>
    <w:rsid w:val="00A97612"/>
    <w:rsid w:val="00A9793C"/>
    <w:rsid w:val="00AA1166"/>
    <w:rsid w:val="00AA1F22"/>
    <w:rsid w:val="00AA2697"/>
    <w:rsid w:val="00AA3715"/>
    <w:rsid w:val="00AA45F6"/>
    <w:rsid w:val="00AA61C2"/>
    <w:rsid w:val="00AA627D"/>
    <w:rsid w:val="00AA651D"/>
    <w:rsid w:val="00AA69BE"/>
    <w:rsid w:val="00AA7C40"/>
    <w:rsid w:val="00AB090A"/>
    <w:rsid w:val="00AB0CF7"/>
    <w:rsid w:val="00AB0F8B"/>
    <w:rsid w:val="00AB1F56"/>
    <w:rsid w:val="00AB1F7F"/>
    <w:rsid w:val="00AB2F79"/>
    <w:rsid w:val="00AB367B"/>
    <w:rsid w:val="00AB4CD9"/>
    <w:rsid w:val="00AB4FED"/>
    <w:rsid w:val="00AB51EB"/>
    <w:rsid w:val="00AB54D0"/>
    <w:rsid w:val="00AB5EAA"/>
    <w:rsid w:val="00AB5FAE"/>
    <w:rsid w:val="00AB61F8"/>
    <w:rsid w:val="00AB7B22"/>
    <w:rsid w:val="00AC1586"/>
    <w:rsid w:val="00AC1E21"/>
    <w:rsid w:val="00AC1F0D"/>
    <w:rsid w:val="00AC3069"/>
    <w:rsid w:val="00AC47C2"/>
    <w:rsid w:val="00AC5143"/>
    <w:rsid w:val="00AC60AE"/>
    <w:rsid w:val="00AC683A"/>
    <w:rsid w:val="00AC6A60"/>
    <w:rsid w:val="00AC6AF7"/>
    <w:rsid w:val="00AC7463"/>
    <w:rsid w:val="00AC74AA"/>
    <w:rsid w:val="00AC7511"/>
    <w:rsid w:val="00AD093E"/>
    <w:rsid w:val="00AD0C9E"/>
    <w:rsid w:val="00AD109F"/>
    <w:rsid w:val="00AD1BAB"/>
    <w:rsid w:val="00AD2598"/>
    <w:rsid w:val="00AD2DB3"/>
    <w:rsid w:val="00AD3299"/>
    <w:rsid w:val="00AD39A3"/>
    <w:rsid w:val="00AD4466"/>
    <w:rsid w:val="00AD47B6"/>
    <w:rsid w:val="00AD65AB"/>
    <w:rsid w:val="00AD67E8"/>
    <w:rsid w:val="00AE00A2"/>
    <w:rsid w:val="00AE0C14"/>
    <w:rsid w:val="00AE1347"/>
    <w:rsid w:val="00AE38D4"/>
    <w:rsid w:val="00AE423D"/>
    <w:rsid w:val="00AE54F6"/>
    <w:rsid w:val="00AE6AF6"/>
    <w:rsid w:val="00AE7144"/>
    <w:rsid w:val="00AE7711"/>
    <w:rsid w:val="00AE7B55"/>
    <w:rsid w:val="00AF0D66"/>
    <w:rsid w:val="00AF10AA"/>
    <w:rsid w:val="00AF137B"/>
    <w:rsid w:val="00AF2269"/>
    <w:rsid w:val="00AF25FE"/>
    <w:rsid w:val="00AF27C4"/>
    <w:rsid w:val="00AF3041"/>
    <w:rsid w:val="00AF31FD"/>
    <w:rsid w:val="00AF35A5"/>
    <w:rsid w:val="00AF47FF"/>
    <w:rsid w:val="00AF4A5E"/>
    <w:rsid w:val="00AF530F"/>
    <w:rsid w:val="00AF57B1"/>
    <w:rsid w:val="00AF5A65"/>
    <w:rsid w:val="00AF5AB7"/>
    <w:rsid w:val="00AF5C06"/>
    <w:rsid w:val="00AF63BB"/>
    <w:rsid w:val="00AF67EB"/>
    <w:rsid w:val="00AF697A"/>
    <w:rsid w:val="00AF72BE"/>
    <w:rsid w:val="00AF7EE3"/>
    <w:rsid w:val="00B00917"/>
    <w:rsid w:val="00B01B90"/>
    <w:rsid w:val="00B01E10"/>
    <w:rsid w:val="00B02125"/>
    <w:rsid w:val="00B0357D"/>
    <w:rsid w:val="00B0367E"/>
    <w:rsid w:val="00B03FBA"/>
    <w:rsid w:val="00B04D6E"/>
    <w:rsid w:val="00B04E1B"/>
    <w:rsid w:val="00B05AFA"/>
    <w:rsid w:val="00B066C6"/>
    <w:rsid w:val="00B079CC"/>
    <w:rsid w:val="00B07F89"/>
    <w:rsid w:val="00B108C5"/>
    <w:rsid w:val="00B115AE"/>
    <w:rsid w:val="00B11817"/>
    <w:rsid w:val="00B122D4"/>
    <w:rsid w:val="00B12375"/>
    <w:rsid w:val="00B13069"/>
    <w:rsid w:val="00B13339"/>
    <w:rsid w:val="00B140A8"/>
    <w:rsid w:val="00B15AB0"/>
    <w:rsid w:val="00B16BD2"/>
    <w:rsid w:val="00B16EF3"/>
    <w:rsid w:val="00B2004C"/>
    <w:rsid w:val="00B20411"/>
    <w:rsid w:val="00B20B6A"/>
    <w:rsid w:val="00B20C21"/>
    <w:rsid w:val="00B21D78"/>
    <w:rsid w:val="00B21FCF"/>
    <w:rsid w:val="00B22254"/>
    <w:rsid w:val="00B232A3"/>
    <w:rsid w:val="00B23557"/>
    <w:rsid w:val="00B23BF2"/>
    <w:rsid w:val="00B23D9F"/>
    <w:rsid w:val="00B24141"/>
    <w:rsid w:val="00B2416D"/>
    <w:rsid w:val="00B24C6B"/>
    <w:rsid w:val="00B24CEA"/>
    <w:rsid w:val="00B26539"/>
    <w:rsid w:val="00B2741F"/>
    <w:rsid w:val="00B2779A"/>
    <w:rsid w:val="00B278F5"/>
    <w:rsid w:val="00B27AAF"/>
    <w:rsid w:val="00B27ABF"/>
    <w:rsid w:val="00B307ED"/>
    <w:rsid w:val="00B30DA1"/>
    <w:rsid w:val="00B310AE"/>
    <w:rsid w:val="00B311C6"/>
    <w:rsid w:val="00B31BBC"/>
    <w:rsid w:val="00B3221F"/>
    <w:rsid w:val="00B34742"/>
    <w:rsid w:val="00B34A65"/>
    <w:rsid w:val="00B34B3E"/>
    <w:rsid w:val="00B34E56"/>
    <w:rsid w:val="00B34F8B"/>
    <w:rsid w:val="00B35463"/>
    <w:rsid w:val="00B35845"/>
    <w:rsid w:val="00B3584A"/>
    <w:rsid w:val="00B36379"/>
    <w:rsid w:val="00B371F1"/>
    <w:rsid w:val="00B4088D"/>
    <w:rsid w:val="00B40BE5"/>
    <w:rsid w:val="00B40CB4"/>
    <w:rsid w:val="00B415F3"/>
    <w:rsid w:val="00B4208C"/>
    <w:rsid w:val="00B42382"/>
    <w:rsid w:val="00B423C9"/>
    <w:rsid w:val="00B425C6"/>
    <w:rsid w:val="00B42AC8"/>
    <w:rsid w:val="00B437CB"/>
    <w:rsid w:val="00B44107"/>
    <w:rsid w:val="00B441B7"/>
    <w:rsid w:val="00B44267"/>
    <w:rsid w:val="00B44620"/>
    <w:rsid w:val="00B446CB"/>
    <w:rsid w:val="00B44AF0"/>
    <w:rsid w:val="00B45576"/>
    <w:rsid w:val="00B459D1"/>
    <w:rsid w:val="00B47367"/>
    <w:rsid w:val="00B511B4"/>
    <w:rsid w:val="00B51B45"/>
    <w:rsid w:val="00B51EA3"/>
    <w:rsid w:val="00B52751"/>
    <w:rsid w:val="00B52912"/>
    <w:rsid w:val="00B53288"/>
    <w:rsid w:val="00B54408"/>
    <w:rsid w:val="00B55153"/>
    <w:rsid w:val="00B55883"/>
    <w:rsid w:val="00B55D9D"/>
    <w:rsid w:val="00B562DB"/>
    <w:rsid w:val="00B567CF"/>
    <w:rsid w:val="00B56D75"/>
    <w:rsid w:val="00B57769"/>
    <w:rsid w:val="00B608AB"/>
    <w:rsid w:val="00B61A25"/>
    <w:rsid w:val="00B63FEC"/>
    <w:rsid w:val="00B648FE"/>
    <w:rsid w:val="00B64A21"/>
    <w:rsid w:val="00B6506F"/>
    <w:rsid w:val="00B65180"/>
    <w:rsid w:val="00B65380"/>
    <w:rsid w:val="00B65AF5"/>
    <w:rsid w:val="00B6636D"/>
    <w:rsid w:val="00B664B2"/>
    <w:rsid w:val="00B6680A"/>
    <w:rsid w:val="00B6686A"/>
    <w:rsid w:val="00B67A4E"/>
    <w:rsid w:val="00B67B9C"/>
    <w:rsid w:val="00B700A9"/>
    <w:rsid w:val="00B704B6"/>
    <w:rsid w:val="00B712C4"/>
    <w:rsid w:val="00B720E7"/>
    <w:rsid w:val="00B72725"/>
    <w:rsid w:val="00B72940"/>
    <w:rsid w:val="00B729B7"/>
    <w:rsid w:val="00B731A1"/>
    <w:rsid w:val="00B73417"/>
    <w:rsid w:val="00B743B6"/>
    <w:rsid w:val="00B75178"/>
    <w:rsid w:val="00B752EF"/>
    <w:rsid w:val="00B755CF"/>
    <w:rsid w:val="00B75889"/>
    <w:rsid w:val="00B75927"/>
    <w:rsid w:val="00B76606"/>
    <w:rsid w:val="00B76A9F"/>
    <w:rsid w:val="00B76C74"/>
    <w:rsid w:val="00B76DC1"/>
    <w:rsid w:val="00B800F9"/>
    <w:rsid w:val="00B809F2"/>
    <w:rsid w:val="00B811D5"/>
    <w:rsid w:val="00B81344"/>
    <w:rsid w:val="00B82C1F"/>
    <w:rsid w:val="00B83875"/>
    <w:rsid w:val="00B8491C"/>
    <w:rsid w:val="00B8507E"/>
    <w:rsid w:val="00B86009"/>
    <w:rsid w:val="00B863F2"/>
    <w:rsid w:val="00B86794"/>
    <w:rsid w:val="00B87B5D"/>
    <w:rsid w:val="00B87F8B"/>
    <w:rsid w:val="00B9052F"/>
    <w:rsid w:val="00B913C4"/>
    <w:rsid w:val="00B92560"/>
    <w:rsid w:val="00B92DEA"/>
    <w:rsid w:val="00B93F6D"/>
    <w:rsid w:val="00B947F2"/>
    <w:rsid w:val="00B94863"/>
    <w:rsid w:val="00B951E5"/>
    <w:rsid w:val="00B95E05"/>
    <w:rsid w:val="00B971C6"/>
    <w:rsid w:val="00B97A5F"/>
    <w:rsid w:val="00B97AD1"/>
    <w:rsid w:val="00BA0293"/>
    <w:rsid w:val="00BA099B"/>
    <w:rsid w:val="00BA0C68"/>
    <w:rsid w:val="00BA1027"/>
    <w:rsid w:val="00BA1109"/>
    <w:rsid w:val="00BA118D"/>
    <w:rsid w:val="00BA1446"/>
    <w:rsid w:val="00BA16C9"/>
    <w:rsid w:val="00BA230E"/>
    <w:rsid w:val="00BA24A0"/>
    <w:rsid w:val="00BA2B8F"/>
    <w:rsid w:val="00BA3B00"/>
    <w:rsid w:val="00BA46D9"/>
    <w:rsid w:val="00BA57D8"/>
    <w:rsid w:val="00BA6274"/>
    <w:rsid w:val="00BA66B9"/>
    <w:rsid w:val="00BA7CF9"/>
    <w:rsid w:val="00BB0237"/>
    <w:rsid w:val="00BB1727"/>
    <w:rsid w:val="00BB1A58"/>
    <w:rsid w:val="00BB219B"/>
    <w:rsid w:val="00BB261F"/>
    <w:rsid w:val="00BB36ED"/>
    <w:rsid w:val="00BB456F"/>
    <w:rsid w:val="00BB4DC1"/>
    <w:rsid w:val="00BB58E1"/>
    <w:rsid w:val="00BB66F2"/>
    <w:rsid w:val="00BB68B5"/>
    <w:rsid w:val="00BB78D8"/>
    <w:rsid w:val="00BB7944"/>
    <w:rsid w:val="00BB7C3A"/>
    <w:rsid w:val="00BC004E"/>
    <w:rsid w:val="00BC034A"/>
    <w:rsid w:val="00BC03EC"/>
    <w:rsid w:val="00BC0503"/>
    <w:rsid w:val="00BC0514"/>
    <w:rsid w:val="00BC11B5"/>
    <w:rsid w:val="00BC1541"/>
    <w:rsid w:val="00BC16B8"/>
    <w:rsid w:val="00BC16F6"/>
    <w:rsid w:val="00BC1C84"/>
    <w:rsid w:val="00BC208E"/>
    <w:rsid w:val="00BC2301"/>
    <w:rsid w:val="00BC254C"/>
    <w:rsid w:val="00BC2CAE"/>
    <w:rsid w:val="00BC3C3E"/>
    <w:rsid w:val="00BC43B9"/>
    <w:rsid w:val="00BC48C0"/>
    <w:rsid w:val="00BC52D1"/>
    <w:rsid w:val="00BC7A6F"/>
    <w:rsid w:val="00BC7B1F"/>
    <w:rsid w:val="00BD000B"/>
    <w:rsid w:val="00BD0C58"/>
    <w:rsid w:val="00BD11CB"/>
    <w:rsid w:val="00BD1AB7"/>
    <w:rsid w:val="00BD1DE6"/>
    <w:rsid w:val="00BD2955"/>
    <w:rsid w:val="00BD2B75"/>
    <w:rsid w:val="00BD322D"/>
    <w:rsid w:val="00BD3C79"/>
    <w:rsid w:val="00BD3E09"/>
    <w:rsid w:val="00BD4294"/>
    <w:rsid w:val="00BD499C"/>
    <w:rsid w:val="00BD4FE5"/>
    <w:rsid w:val="00BD52CF"/>
    <w:rsid w:val="00BD53E7"/>
    <w:rsid w:val="00BD5F9D"/>
    <w:rsid w:val="00BD683F"/>
    <w:rsid w:val="00BD795F"/>
    <w:rsid w:val="00BD7EA7"/>
    <w:rsid w:val="00BD7F83"/>
    <w:rsid w:val="00BD7F87"/>
    <w:rsid w:val="00BE0AFA"/>
    <w:rsid w:val="00BE10C6"/>
    <w:rsid w:val="00BE130B"/>
    <w:rsid w:val="00BE1D23"/>
    <w:rsid w:val="00BE1F2B"/>
    <w:rsid w:val="00BE2741"/>
    <w:rsid w:val="00BE2C9A"/>
    <w:rsid w:val="00BE2D43"/>
    <w:rsid w:val="00BE39A1"/>
    <w:rsid w:val="00BE49A6"/>
    <w:rsid w:val="00BE4ABF"/>
    <w:rsid w:val="00BE4CF0"/>
    <w:rsid w:val="00BE4EFE"/>
    <w:rsid w:val="00BE5A9E"/>
    <w:rsid w:val="00BE613C"/>
    <w:rsid w:val="00BE7172"/>
    <w:rsid w:val="00BE778B"/>
    <w:rsid w:val="00BF011B"/>
    <w:rsid w:val="00BF1CFC"/>
    <w:rsid w:val="00BF1FE6"/>
    <w:rsid w:val="00BF3434"/>
    <w:rsid w:val="00BF3C44"/>
    <w:rsid w:val="00BF3C8F"/>
    <w:rsid w:val="00BF5596"/>
    <w:rsid w:val="00BF5B6A"/>
    <w:rsid w:val="00BF5F21"/>
    <w:rsid w:val="00BF72F5"/>
    <w:rsid w:val="00BF751B"/>
    <w:rsid w:val="00BF7689"/>
    <w:rsid w:val="00BF7B48"/>
    <w:rsid w:val="00C00E8F"/>
    <w:rsid w:val="00C01620"/>
    <w:rsid w:val="00C02439"/>
    <w:rsid w:val="00C02647"/>
    <w:rsid w:val="00C02EC9"/>
    <w:rsid w:val="00C041DA"/>
    <w:rsid w:val="00C04662"/>
    <w:rsid w:val="00C04A1A"/>
    <w:rsid w:val="00C05035"/>
    <w:rsid w:val="00C05DF2"/>
    <w:rsid w:val="00C0681A"/>
    <w:rsid w:val="00C103CF"/>
    <w:rsid w:val="00C113CD"/>
    <w:rsid w:val="00C11537"/>
    <w:rsid w:val="00C117E1"/>
    <w:rsid w:val="00C11C58"/>
    <w:rsid w:val="00C12415"/>
    <w:rsid w:val="00C12A81"/>
    <w:rsid w:val="00C12F45"/>
    <w:rsid w:val="00C1428B"/>
    <w:rsid w:val="00C1676E"/>
    <w:rsid w:val="00C175CC"/>
    <w:rsid w:val="00C17C51"/>
    <w:rsid w:val="00C201F7"/>
    <w:rsid w:val="00C20E83"/>
    <w:rsid w:val="00C22026"/>
    <w:rsid w:val="00C222CE"/>
    <w:rsid w:val="00C22F5F"/>
    <w:rsid w:val="00C23855"/>
    <w:rsid w:val="00C2403B"/>
    <w:rsid w:val="00C25AA0"/>
    <w:rsid w:val="00C25C4C"/>
    <w:rsid w:val="00C25E5F"/>
    <w:rsid w:val="00C263D7"/>
    <w:rsid w:val="00C27125"/>
    <w:rsid w:val="00C271A7"/>
    <w:rsid w:val="00C27293"/>
    <w:rsid w:val="00C276FA"/>
    <w:rsid w:val="00C27701"/>
    <w:rsid w:val="00C27B81"/>
    <w:rsid w:val="00C3098D"/>
    <w:rsid w:val="00C30ED7"/>
    <w:rsid w:val="00C32604"/>
    <w:rsid w:val="00C3267D"/>
    <w:rsid w:val="00C32BB5"/>
    <w:rsid w:val="00C32D9E"/>
    <w:rsid w:val="00C332BE"/>
    <w:rsid w:val="00C33A75"/>
    <w:rsid w:val="00C34781"/>
    <w:rsid w:val="00C34847"/>
    <w:rsid w:val="00C34A21"/>
    <w:rsid w:val="00C350C6"/>
    <w:rsid w:val="00C35F9F"/>
    <w:rsid w:val="00C36521"/>
    <w:rsid w:val="00C37A70"/>
    <w:rsid w:val="00C37C40"/>
    <w:rsid w:val="00C40007"/>
    <w:rsid w:val="00C407B8"/>
    <w:rsid w:val="00C409EF"/>
    <w:rsid w:val="00C41573"/>
    <w:rsid w:val="00C41B0E"/>
    <w:rsid w:val="00C41FC2"/>
    <w:rsid w:val="00C4203F"/>
    <w:rsid w:val="00C4238B"/>
    <w:rsid w:val="00C42799"/>
    <w:rsid w:val="00C42A04"/>
    <w:rsid w:val="00C43106"/>
    <w:rsid w:val="00C4437C"/>
    <w:rsid w:val="00C44B7E"/>
    <w:rsid w:val="00C44EA9"/>
    <w:rsid w:val="00C450D1"/>
    <w:rsid w:val="00C45185"/>
    <w:rsid w:val="00C458AA"/>
    <w:rsid w:val="00C460B3"/>
    <w:rsid w:val="00C46319"/>
    <w:rsid w:val="00C465D1"/>
    <w:rsid w:val="00C466B7"/>
    <w:rsid w:val="00C46B59"/>
    <w:rsid w:val="00C475F4"/>
    <w:rsid w:val="00C509A0"/>
    <w:rsid w:val="00C50B00"/>
    <w:rsid w:val="00C50D5B"/>
    <w:rsid w:val="00C51513"/>
    <w:rsid w:val="00C51753"/>
    <w:rsid w:val="00C52E4A"/>
    <w:rsid w:val="00C53C86"/>
    <w:rsid w:val="00C54C11"/>
    <w:rsid w:val="00C54E0D"/>
    <w:rsid w:val="00C54F77"/>
    <w:rsid w:val="00C55A12"/>
    <w:rsid w:val="00C55BE1"/>
    <w:rsid w:val="00C560B0"/>
    <w:rsid w:val="00C562A1"/>
    <w:rsid w:val="00C5655B"/>
    <w:rsid w:val="00C56724"/>
    <w:rsid w:val="00C5696F"/>
    <w:rsid w:val="00C57B9B"/>
    <w:rsid w:val="00C57E50"/>
    <w:rsid w:val="00C60EEF"/>
    <w:rsid w:val="00C62422"/>
    <w:rsid w:val="00C6300D"/>
    <w:rsid w:val="00C63B24"/>
    <w:rsid w:val="00C64D54"/>
    <w:rsid w:val="00C657D4"/>
    <w:rsid w:val="00C65AD0"/>
    <w:rsid w:val="00C65C4B"/>
    <w:rsid w:val="00C66DAD"/>
    <w:rsid w:val="00C674CD"/>
    <w:rsid w:val="00C702CF"/>
    <w:rsid w:val="00C7049D"/>
    <w:rsid w:val="00C7157C"/>
    <w:rsid w:val="00C717FA"/>
    <w:rsid w:val="00C723B0"/>
    <w:rsid w:val="00C72C2C"/>
    <w:rsid w:val="00C73144"/>
    <w:rsid w:val="00C732FE"/>
    <w:rsid w:val="00C7371D"/>
    <w:rsid w:val="00C73C5C"/>
    <w:rsid w:val="00C74AE3"/>
    <w:rsid w:val="00C758BE"/>
    <w:rsid w:val="00C76F9B"/>
    <w:rsid w:val="00C77463"/>
    <w:rsid w:val="00C77898"/>
    <w:rsid w:val="00C80338"/>
    <w:rsid w:val="00C81C0C"/>
    <w:rsid w:val="00C82114"/>
    <w:rsid w:val="00C82F20"/>
    <w:rsid w:val="00C83556"/>
    <w:rsid w:val="00C847FF"/>
    <w:rsid w:val="00C85B40"/>
    <w:rsid w:val="00C86AF5"/>
    <w:rsid w:val="00C87C26"/>
    <w:rsid w:val="00C87C5B"/>
    <w:rsid w:val="00C9020F"/>
    <w:rsid w:val="00C9039C"/>
    <w:rsid w:val="00C91937"/>
    <w:rsid w:val="00C91CDE"/>
    <w:rsid w:val="00C92CC1"/>
    <w:rsid w:val="00C92DF8"/>
    <w:rsid w:val="00C93C71"/>
    <w:rsid w:val="00C9457D"/>
    <w:rsid w:val="00C945A0"/>
    <w:rsid w:val="00C94B17"/>
    <w:rsid w:val="00C9624A"/>
    <w:rsid w:val="00C96BC6"/>
    <w:rsid w:val="00C96DD8"/>
    <w:rsid w:val="00C97380"/>
    <w:rsid w:val="00C97425"/>
    <w:rsid w:val="00CA02A5"/>
    <w:rsid w:val="00CA0AF8"/>
    <w:rsid w:val="00CA19F0"/>
    <w:rsid w:val="00CA1DCB"/>
    <w:rsid w:val="00CA2D60"/>
    <w:rsid w:val="00CA2F8F"/>
    <w:rsid w:val="00CA374B"/>
    <w:rsid w:val="00CA3BD0"/>
    <w:rsid w:val="00CA471D"/>
    <w:rsid w:val="00CA57B6"/>
    <w:rsid w:val="00CA58A7"/>
    <w:rsid w:val="00CA5A2D"/>
    <w:rsid w:val="00CA6129"/>
    <w:rsid w:val="00CA7193"/>
    <w:rsid w:val="00CA78CB"/>
    <w:rsid w:val="00CB11CE"/>
    <w:rsid w:val="00CB141D"/>
    <w:rsid w:val="00CB1435"/>
    <w:rsid w:val="00CB1F11"/>
    <w:rsid w:val="00CB1F16"/>
    <w:rsid w:val="00CB2A43"/>
    <w:rsid w:val="00CB2DF1"/>
    <w:rsid w:val="00CB326F"/>
    <w:rsid w:val="00CB3683"/>
    <w:rsid w:val="00CB3ABC"/>
    <w:rsid w:val="00CB3AC2"/>
    <w:rsid w:val="00CB46C4"/>
    <w:rsid w:val="00CB500C"/>
    <w:rsid w:val="00CB5258"/>
    <w:rsid w:val="00CB75C6"/>
    <w:rsid w:val="00CB7828"/>
    <w:rsid w:val="00CB7CD7"/>
    <w:rsid w:val="00CB7EC5"/>
    <w:rsid w:val="00CC00B5"/>
    <w:rsid w:val="00CC01D6"/>
    <w:rsid w:val="00CC1C8F"/>
    <w:rsid w:val="00CC2163"/>
    <w:rsid w:val="00CC263B"/>
    <w:rsid w:val="00CC2823"/>
    <w:rsid w:val="00CC2CB7"/>
    <w:rsid w:val="00CC3052"/>
    <w:rsid w:val="00CC3247"/>
    <w:rsid w:val="00CC38FA"/>
    <w:rsid w:val="00CC39D1"/>
    <w:rsid w:val="00CC51B7"/>
    <w:rsid w:val="00CC5575"/>
    <w:rsid w:val="00CC5757"/>
    <w:rsid w:val="00CC597D"/>
    <w:rsid w:val="00CC5D94"/>
    <w:rsid w:val="00CC5E37"/>
    <w:rsid w:val="00CC5FD2"/>
    <w:rsid w:val="00CC6517"/>
    <w:rsid w:val="00CC6AD0"/>
    <w:rsid w:val="00CC7292"/>
    <w:rsid w:val="00CC7ADF"/>
    <w:rsid w:val="00CD06AE"/>
    <w:rsid w:val="00CD1278"/>
    <w:rsid w:val="00CD1363"/>
    <w:rsid w:val="00CD1996"/>
    <w:rsid w:val="00CD19B7"/>
    <w:rsid w:val="00CD2447"/>
    <w:rsid w:val="00CD2F82"/>
    <w:rsid w:val="00CD312A"/>
    <w:rsid w:val="00CD56F0"/>
    <w:rsid w:val="00CD6100"/>
    <w:rsid w:val="00CD712F"/>
    <w:rsid w:val="00CD77FD"/>
    <w:rsid w:val="00CD7F61"/>
    <w:rsid w:val="00CE0797"/>
    <w:rsid w:val="00CE0DD6"/>
    <w:rsid w:val="00CE0E7A"/>
    <w:rsid w:val="00CE0EBF"/>
    <w:rsid w:val="00CE18F9"/>
    <w:rsid w:val="00CE1EA8"/>
    <w:rsid w:val="00CE365A"/>
    <w:rsid w:val="00CE3A00"/>
    <w:rsid w:val="00CE4371"/>
    <w:rsid w:val="00CE5179"/>
    <w:rsid w:val="00CE532D"/>
    <w:rsid w:val="00CE5DDC"/>
    <w:rsid w:val="00CE64CE"/>
    <w:rsid w:val="00CE6ADD"/>
    <w:rsid w:val="00CE6B07"/>
    <w:rsid w:val="00CE7A4C"/>
    <w:rsid w:val="00CF0345"/>
    <w:rsid w:val="00CF0DCD"/>
    <w:rsid w:val="00CF1215"/>
    <w:rsid w:val="00CF152E"/>
    <w:rsid w:val="00CF156A"/>
    <w:rsid w:val="00CF1D42"/>
    <w:rsid w:val="00CF1F56"/>
    <w:rsid w:val="00CF2596"/>
    <w:rsid w:val="00CF265D"/>
    <w:rsid w:val="00CF461C"/>
    <w:rsid w:val="00CF4CF8"/>
    <w:rsid w:val="00CF51D4"/>
    <w:rsid w:val="00CF545E"/>
    <w:rsid w:val="00CF57A3"/>
    <w:rsid w:val="00CF585F"/>
    <w:rsid w:val="00CF74F5"/>
    <w:rsid w:val="00CF7791"/>
    <w:rsid w:val="00CF7CCB"/>
    <w:rsid w:val="00D00726"/>
    <w:rsid w:val="00D00B24"/>
    <w:rsid w:val="00D019FE"/>
    <w:rsid w:val="00D028E1"/>
    <w:rsid w:val="00D0296E"/>
    <w:rsid w:val="00D03235"/>
    <w:rsid w:val="00D032C9"/>
    <w:rsid w:val="00D032D9"/>
    <w:rsid w:val="00D03456"/>
    <w:rsid w:val="00D0353E"/>
    <w:rsid w:val="00D042C3"/>
    <w:rsid w:val="00D04462"/>
    <w:rsid w:val="00D0466A"/>
    <w:rsid w:val="00D04995"/>
    <w:rsid w:val="00D04CC5"/>
    <w:rsid w:val="00D05282"/>
    <w:rsid w:val="00D056B2"/>
    <w:rsid w:val="00D06704"/>
    <w:rsid w:val="00D072D3"/>
    <w:rsid w:val="00D074C0"/>
    <w:rsid w:val="00D075D9"/>
    <w:rsid w:val="00D104CC"/>
    <w:rsid w:val="00D10E14"/>
    <w:rsid w:val="00D110CF"/>
    <w:rsid w:val="00D1117C"/>
    <w:rsid w:val="00D115F8"/>
    <w:rsid w:val="00D11AF4"/>
    <w:rsid w:val="00D11F10"/>
    <w:rsid w:val="00D12127"/>
    <w:rsid w:val="00D131D1"/>
    <w:rsid w:val="00D13B4E"/>
    <w:rsid w:val="00D142B7"/>
    <w:rsid w:val="00D15480"/>
    <w:rsid w:val="00D16427"/>
    <w:rsid w:val="00D1659A"/>
    <w:rsid w:val="00D16861"/>
    <w:rsid w:val="00D1730D"/>
    <w:rsid w:val="00D17CAB"/>
    <w:rsid w:val="00D21E02"/>
    <w:rsid w:val="00D2360E"/>
    <w:rsid w:val="00D23C41"/>
    <w:rsid w:val="00D24036"/>
    <w:rsid w:val="00D24497"/>
    <w:rsid w:val="00D24D7C"/>
    <w:rsid w:val="00D25161"/>
    <w:rsid w:val="00D256AF"/>
    <w:rsid w:val="00D25D02"/>
    <w:rsid w:val="00D26BBD"/>
    <w:rsid w:val="00D31147"/>
    <w:rsid w:val="00D316ED"/>
    <w:rsid w:val="00D31AB1"/>
    <w:rsid w:val="00D327DB"/>
    <w:rsid w:val="00D32817"/>
    <w:rsid w:val="00D32DAC"/>
    <w:rsid w:val="00D33221"/>
    <w:rsid w:val="00D33FFE"/>
    <w:rsid w:val="00D349EC"/>
    <w:rsid w:val="00D350A5"/>
    <w:rsid w:val="00D35437"/>
    <w:rsid w:val="00D357C4"/>
    <w:rsid w:val="00D35CCF"/>
    <w:rsid w:val="00D40261"/>
    <w:rsid w:val="00D40384"/>
    <w:rsid w:val="00D41AB7"/>
    <w:rsid w:val="00D41C6E"/>
    <w:rsid w:val="00D42375"/>
    <w:rsid w:val="00D43CBA"/>
    <w:rsid w:val="00D44348"/>
    <w:rsid w:val="00D443A3"/>
    <w:rsid w:val="00D44553"/>
    <w:rsid w:val="00D44598"/>
    <w:rsid w:val="00D46064"/>
    <w:rsid w:val="00D467FF"/>
    <w:rsid w:val="00D47D16"/>
    <w:rsid w:val="00D50334"/>
    <w:rsid w:val="00D506B3"/>
    <w:rsid w:val="00D5100B"/>
    <w:rsid w:val="00D51090"/>
    <w:rsid w:val="00D51503"/>
    <w:rsid w:val="00D516FA"/>
    <w:rsid w:val="00D518B2"/>
    <w:rsid w:val="00D51FCA"/>
    <w:rsid w:val="00D528C0"/>
    <w:rsid w:val="00D52F46"/>
    <w:rsid w:val="00D53B5B"/>
    <w:rsid w:val="00D53B5C"/>
    <w:rsid w:val="00D55755"/>
    <w:rsid w:val="00D56169"/>
    <w:rsid w:val="00D563A9"/>
    <w:rsid w:val="00D5655C"/>
    <w:rsid w:val="00D57D5E"/>
    <w:rsid w:val="00D60B84"/>
    <w:rsid w:val="00D622D0"/>
    <w:rsid w:val="00D62349"/>
    <w:rsid w:val="00D623BC"/>
    <w:rsid w:val="00D6260E"/>
    <w:rsid w:val="00D63481"/>
    <w:rsid w:val="00D637A7"/>
    <w:rsid w:val="00D64179"/>
    <w:rsid w:val="00D643A4"/>
    <w:rsid w:val="00D64C67"/>
    <w:rsid w:val="00D64FFB"/>
    <w:rsid w:val="00D658F2"/>
    <w:rsid w:val="00D665D7"/>
    <w:rsid w:val="00D70708"/>
    <w:rsid w:val="00D710B8"/>
    <w:rsid w:val="00D712E9"/>
    <w:rsid w:val="00D719AE"/>
    <w:rsid w:val="00D72327"/>
    <w:rsid w:val="00D72B03"/>
    <w:rsid w:val="00D72E87"/>
    <w:rsid w:val="00D73CDE"/>
    <w:rsid w:val="00D73CF1"/>
    <w:rsid w:val="00D7423A"/>
    <w:rsid w:val="00D74275"/>
    <w:rsid w:val="00D743F3"/>
    <w:rsid w:val="00D76073"/>
    <w:rsid w:val="00D8277B"/>
    <w:rsid w:val="00D82B2C"/>
    <w:rsid w:val="00D82B36"/>
    <w:rsid w:val="00D842BA"/>
    <w:rsid w:val="00D84884"/>
    <w:rsid w:val="00D859E3"/>
    <w:rsid w:val="00D8605F"/>
    <w:rsid w:val="00D87293"/>
    <w:rsid w:val="00D9035D"/>
    <w:rsid w:val="00D9079F"/>
    <w:rsid w:val="00D90A2B"/>
    <w:rsid w:val="00D90F79"/>
    <w:rsid w:val="00D913B0"/>
    <w:rsid w:val="00D91586"/>
    <w:rsid w:val="00D91591"/>
    <w:rsid w:val="00D91906"/>
    <w:rsid w:val="00D91AB7"/>
    <w:rsid w:val="00D93A5E"/>
    <w:rsid w:val="00D94036"/>
    <w:rsid w:val="00D94145"/>
    <w:rsid w:val="00D954D9"/>
    <w:rsid w:val="00D9557B"/>
    <w:rsid w:val="00D95A92"/>
    <w:rsid w:val="00D96147"/>
    <w:rsid w:val="00D97359"/>
    <w:rsid w:val="00D9748C"/>
    <w:rsid w:val="00D97509"/>
    <w:rsid w:val="00D97FA7"/>
    <w:rsid w:val="00DA0441"/>
    <w:rsid w:val="00DA0B91"/>
    <w:rsid w:val="00DA0DD3"/>
    <w:rsid w:val="00DA0FE7"/>
    <w:rsid w:val="00DA16BC"/>
    <w:rsid w:val="00DA1AD3"/>
    <w:rsid w:val="00DA1ED0"/>
    <w:rsid w:val="00DA20F4"/>
    <w:rsid w:val="00DA22F2"/>
    <w:rsid w:val="00DA2AC9"/>
    <w:rsid w:val="00DA2BBC"/>
    <w:rsid w:val="00DA347E"/>
    <w:rsid w:val="00DA468B"/>
    <w:rsid w:val="00DA54C5"/>
    <w:rsid w:val="00DA5D5A"/>
    <w:rsid w:val="00DA70A2"/>
    <w:rsid w:val="00DA7237"/>
    <w:rsid w:val="00DB0BB5"/>
    <w:rsid w:val="00DB0EBD"/>
    <w:rsid w:val="00DB1554"/>
    <w:rsid w:val="00DB1CEA"/>
    <w:rsid w:val="00DB1D18"/>
    <w:rsid w:val="00DB2AE3"/>
    <w:rsid w:val="00DB3005"/>
    <w:rsid w:val="00DB32AE"/>
    <w:rsid w:val="00DB4D4C"/>
    <w:rsid w:val="00DB4D5D"/>
    <w:rsid w:val="00DB50E1"/>
    <w:rsid w:val="00DB521B"/>
    <w:rsid w:val="00DB5700"/>
    <w:rsid w:val="00DB6308"/>
    <w:rsid w:val="00DB63F1"/>
    <w:rsid w:val="00DB6598"/>
    <w:rsid w:val="00DB6650"/>
    <w:rsid w:val="00DB6A20"/>
    <w:rsid w:val="00DB6C2C"/>
    <w:rsid w:val="00DB6C9E"/>
    <w:rsid w:val="00DB6D0A"/>
    <w:rsid w:val="00DB79CB"/>
    <w:rsid w:val="00DC003F"/>
    <w:rsid w:val="00DC01DF"/>
    <w:rsid w:val="00DC04F5"/>
    <w:rsid w:val="00DC09B5"/>
    <w:rsid w:val="00DC0D03"/>
    <w:rsid w:val="00DC0D48"/>
    <w:rsid w:val="00DC292B"/>
    <w:rsid w:val="00DC2FED"/>
    <w:rsid w:val="00DC3092"/>
    <w:rsid w:val="00DC334C"/>
    <w:rsid w:val="00DC382E"/>
    <w:rsid w:val="00DC3BDD"/>
    <w:rsid w:val="00DC40C8"/>
    <w:rsid w:val="00DC47B9"/>
    <w:rsid w:val="00DC4C92"/>
    <w:rsid w:val="00DC64A5"/>
    <w:rsid w:val="00DC75E4"/>
    <w:rsid w:val="00DD07EB"/>
    <w:rsid w:val="00DD14D3"/>
    <w:rsid w:val="00DD1809"/>
    <w:rsid w:val="00DD2467"/>
    <w:rsid w:val="00DD29F8"/>
    <w:rsid w:val="00DD3601"/>
    <w:rsid w:val="00DD36DF"/>
    <w:rsid w:val="00DD3BB8"/>
    <w:rsid w:val="00DD3CC2"/>
    <w:rsid w:val="00DD4708"/>
    <w:rsid w:val="00DD4B83"/>
    <w:rsid w:val="00DD518F"/>
    <w:rsid w:val="00DD5480"/>
    <w:rsid w:val="00DD6C05"/>
    <w:rsid w:val="00DE0021"/>
    <w:rsid w:val="00DE0182"/>
    <w:rsid w:val="00DE0B7C"/>
    <w:rsid w:val="00DE107E"/>
    <w:rsid w:val="00DE11E9"/>
    <w:rsid w:val="00DE1883"/>
    <w:rsid w:val="00DE1C86"/>
    <w:rsid w:val="00DE231D"/>
    <w:rsid w:val="00DE2814"/>
    <w:rsid w:val="00DE38D9"/>
    <w:rsid w:val="00DE4247"/>
    <w:rsid w:val="00DE51F4"/>
    <w:rsid w:val="00DE5AAC"/>
    <w:rsid w:val="00DE6968"/>
    <w:rsid w:val="00DE7357"/>
    <w:rsid w:val="00DE74A4"/>
    <w:rsid w:val="00DF077F"/>
    <w:rsid w:val="00DF1375"/>
    <w:rsid w:val="00DF1608"/>
    <w:rsid w:val="00DF1C46"/>
    <w:rsid w:val="00DF2504"/>
    <w:rsid w:val="00DF2E5C"/>
    <w:rsid w:val="00DF2F47"/>
    <w:rsid w:val="00DF3538"/>
    <w:rsid w:val="00DF397C"/>
    <w:rsid w:val="00DF5A47"/>
    <w:rsid w:val="00DF6C7A"/>
    <w:rsid w:val="00DF7006"/>
    <w:rsid w:val="00DF7832"/>
    <w:rsid w:val="00DF7915"/>
    <w:rsid w:val="00E00000"/>
    <w:rsid w:val="00E002D7"/>
    <w:rsid w:val="00E00A5F"/>
    <w:rsid w:val="00E00BAF"/>
    <w:rsid w:val="00E010BD"/>
    <w:rsid w:val="00E0186C"/>
    <w:rsid w:val="00E01EF7"/>
    <w:rsid w:val="00E02932"/>
    <w:rsid w:val="00E03292"/>
    <w:rsid w:val="00E03EC8"/>
    <w:rsid w:val="00E0440D"/>
    <w:rsid w:val="00E04E4C"/>
    <w:rsid w:val="00E05703"/>
    <w:rsid w:val="00E05A34"/>
    <w:rsid w:val="00E05F8D"/>
    <w:rsid w:val="00E07464"/>
    <w:rsid w:val="00E101E2"/>
    <w:rsid w:val="00E107DD"/>
    <w:rsid w:val="00E1139E"/>
    <w:rsid w:val="00E126A2"/>
    <w:rsid w:val="00E12F77"/>
    <w:rsid w:val="00E12FDE"/>
    <w:rsid w:val="00E13FC3"/>
    <w:rsid w:val="00E14BDB"/>
    <w:rsid w:val="00E14DF7"/>
    <w:rsid w:val="00E1554C"/>
    <w:rsid w:val="00E177C8"/>
    <w:rsid w:val="00E17A8B"/>
    <w:rsid w:val="00E200B8"/>
    <w:rsid w:val="00E20BBA"/>
    <w:rsid w:val="00E210AE"/>
    <w:rsid w:val="00E212E5"/>
    <w:rsid w:val="00E217FA"/>
    <w:rsid w:val="00E2343C"/>
    <w:rsid w:val="00E2343E"/>
    <w:rsid w:val="00E23A12"/>
    <w:rsid w:val="00E23BD3"/>
    <w:rsid w:val="00E247C3"/>
    <w:rsid w:val="00E252CC"/>
    <w:rsid w:val="00E2549C"/>
    <w:rsid w:val="00E25BF8"/>
    <w:rsid w:val="00E26031"/>
    <w:rsid w:val="00E263B6"/>
    <w:rsid w:val="00E2670A"/>
    <w:rsid w:val="00E30A60"/>
    <w:rsid w:val="00E30F9E"/>
    <w:rsid w:val="00E3116F"/>
    <w:rsid w:val="00E31BB7"/>
    <w:rsid w:val="00E3272D"/>
    <w:rsid w:val="00E32E30"/>
    <w:rsid w:val="00E340AA"/>
    <w:rsid w:val="00E3420A"/>
    <w:rsid w:val="00E346FA"/>
    <w:rsid w:val="00E350A2"/>
    <w:rsid w:val="00E353E1"/>
    <w:rsid w:val="00E36474"/>
    <w:rsid w:val="00E37072"/>
    <w:rsid w:val="00E37E86"/>
    <w:rsid w:val="00E40768"/>
    <w:rsid w:val="00E418B6"/>
    <w:rsid w:val="00E42125"/>
    <w:rsid w:val="00E43945"/>
    <w:rsid w:val="00E439DE"/>
    <w:rsid w:val="00E43A63"/>
    <w:rsid w:val="00E440A1"/>
    <w:rsid w:val="00E441AA"/>
    <w:rsid w:val="00E456BE"/>
    <w:rsid w:val="00E45A37"/>
    <w:rsid w:val="00E46136"/>
    <w:rsid w:val="00E46C3D"/>
    <w:rsid w:val="00E46DCE"/>
    <w:rsid w:val="00E47B41"/>
    <w:rsid w:val="00E50472"/>
    <w:rsid w:val="00E50893"/>
    <w:rsid w:val="00E51A06"/>
    <w:rsid w:val="00E51C70"/>
    <w:rsid w:val="00E51D44"/>
    <w:rsid w:val="00E52572"/>
    <w:rsid w:val="00E5339B"/>
    <w:rsid w:val="00E538C0"/>
    <w:rsid w:val="00E53F67"/>
    <w:rsid w:val="00E54079"/>
    <w:rsid w:val="00E542F4"/>
    <w:rsid w:val="00E54896"/>
    <w:rsid w:val="00E558B4"/>
    <w:rsid w:val="00E55BCC"/>
    <w:rsid w:val="00E55C5F"/>
    <w:rsid w:val="00E56218"/>
    <w:rsid w:val="00E56552"/>
    <w:rsid w:val="00E606AC"/>
    <w:rsid w:val="00E615AA"/>
    <w:rsid w:val="00E61636"/>
    <w:rsid w:val="00E61C7F"/>
    <w:rsid w:val="00E62672"/>
    <w:rsid w:val="00E639B4"/>
    <w:rsid w:val="00E63B4B"/>
    <w:rsid w:val="00E64233"/>
    <w:rsid w:val="00E655CE"/>
    <w:rsid w:val="00E65B82"/>
    <w:rsid w:val="00E66A84"/>
    <w:rsid w:val="00E673E9"/>
    <w:rsid w:val="00E67B5F"/>
    <w:rsid w:val="00E70D3E"/>
    <w:rsid w:val="00E71F7A"/>
    <w:rsid w:val="00E72E45"/>
    <w:rsid w:val="00E742E0"/>
    <w:rsid w:val="00E7475C"/>
    <w:rsid w:val="00E747BC"/>
    <w:rsid w:val="00E74823"/>
    <w:rsid w:val="00E7498E"/>
    <w:rsid w:val="00E750BE"/>
    <w:rsid w:val="00E755CE"/>
    <w:rsid w:val="00E7618A"/>
    <w:rsid w:val="00E76659"/>
    <w:rsid w:val="00E76CA0"/>
    <w:rsid w:val="00E77097"/>
    <w:rsid w:val="00E773E0"/>
    <w:rsid w:val="00E7762E"/>
    <w:rsid w:val="00E77A0E"/>
    <w:rsid w:val="00E77D79"/>
    <w:rsid w:val="00E77F03"/>
    <w:rsid w:val="00E82C6E"/>
    <w:rsid w:val="00E83078"/>
    <w:rsid w:val="00E830A9"/>
    <w:rsid w:val="00E835B4"/>
    <w:rsid w:val="00E85AAA"/>
    <w:rsid w:val="00E86106"/>
    <w:rsid w:val="00E86399"/>
    <w:rsid w:val="00E864D2"/>
    <w:rsid w:val="00E8681C"/>
    <w:rsid w:val="00E90075"/>
    <w:rsid w:val="00E9028F"/>
    <w:rsid w:val="00E90381"/>
    <w:rsid w:val="00E907AE"/>
    <w:rsid w:val="00E91376"/>
    <w:rsid w:val="00E91BCD"/>
    <w:rsid w:val="00E91EC4"/>
    <w:rsid w:val="00E92591"/>
    <w:rsid w:val="00E92AE2"/>
    <w:rsid w:val="00E936F2"/>
    <w:rsid w:val="00E94957"/>
    <w:rsid w:val="00E94C2B"/>
    <w:rsid w:val="00E94DE3"/>
    <w:rsid w:val="00E95AF9"/>
    <w:rsid w:val="00E95D83"/>
    <w:rsid w:val="00E97818"/>
    <w:rsid w:val="00EA0012"/>
    <w:rsid w:val="00EA0DF8"/>
    <w:rsid w:val="00EA29BF"/>
    <w:rsid w:val="00EA33BB"/>
    <w:rsid w:val="00EA4358"/>
    <w:rsid w:val="00EA5C5F"/>
    <w:rsid w:val="00EA6883"/>
    <w:rsid w:val="00EA6C58"/>
    <w:rsid w:val="00EA7294"/>
    <w:rsid w:val="00EA7790"/>
    <w:rsid w:val="00EA7FEC"/>
    <w:rsid w:val="00EB0473"/>
    <w:rsid w:val="00EB08F9"/>
    <w:rsid w:val="00EB0906"/>
    <w:rsid w:val="00EB0AA0"/>
    <w:rsid w:val="00EB28A8"/>
    <w:rsid w:val="00EB2B42"/>
    <w:rsid w:val="00EB3A29"/>
    <w:rsid w:val="00EB3A58"/>
    <w:rsid w:val="00EB4D4C"/>
    <w:rsid w:val="00EB5A2C"/>
    <w:rsid w:val="00EB7825"/>
    <w:rsid w:val="00EB7ADD"/>
    <w:rsid w:val="00EC2F63"/>
    <w:rsid w:val="00EC30E7"/>
    <w:rsid w:val="00EC3491"/>
    <w:rsid w:val="00EC39D7"/>
    <w:rsid w:val="00EC5C3C"/>
    <w:rsid w:val="00EC6793"/>
    <w:rsid w:val="00EC6D07"/>
    <w:rsid w:val="00EC7016"/>
    <w:rsid w:val="00EC7671"/>
    <w:rsid w:val="00ED00D6"/>
    <w:rsid w:val="00ED023F"/>
    <w:rsid w:val="00ED0A11"/>
    <w:rsid w:val="00ED17EC"/>
    <w:rsid w:val="00ED23CC"/>
    <w:rsid w:val="00ED2653"/>
    <w:rsid w:val="00ED2F28"/>
    <w:rsid w:val="00ED4632"/>
    <w:rsid w:val="00ED4E2F"/>
    <w:rsid w:val="00ED6C0B"/>
    <w:rsid w:val="00EE0C5F"/>
    <w:rsid w:val="00EE1CD1"/>
    <w:rsid w:val="00EE22B5"/>
    <w:rsid w:val="00EE2B45"/>
    <w:rsid w:val="00EE2CDB"/>
    <w:rsid w:val="00EE30CF"/>
    <w:rsid w:val="00EE3DE2"/>
    <w:rsid w:val="00EE3E65"/>
    <w:rsid w:val="00EE4F46"/>
    <w:rsid w:val="00EE62CB"/>
    <w:rsid w:val="00EE6DB0"/>
    <w:rsid w:val="00EE7063"/>
    <w:rsid w:val="00EE74FA"/>
    <w:rsid w:val="00EF035A"/>
    <w:rsid w:val="00EF1357"/>
    <w:rsid w:val="00EF169D"/>
    <w:rsid w:val="00EF2696"/>
    <w:rsid w:val="00EF3062"/>
    <w:rsid w:val="00EF5A3C"/>
    <w:rsid w:val="00EF6139"/>
    <w:rsid w:val="00EF62A1"/>
    <w:rsid w:val="00EF6467"/>
    <w:rsid w:val="00EF661C"/>
    <w:rsid w:val="00EF6CC3"/>
    <w:rsid w:val="00EF76AC"/>
    <w:rsid w:val="00EF784A"/>
    <w:rsid w:val="00F0020E"/>
    <w:rsid w:val="00F00476"/>
    <w:rsid w:val="00F008D5"/>
    <w:rsid w:val="00F00C2C"/>
    <w:rsid w:val="00F00EDE"/>
    <w:rsid w:val="00F016ED"/>
    <w:rsid w:val="00F02099"/>
    <w:rsid w:val="00F02127"/>
    <w:rsid w:val="00F02508"/>
    <w:rsid w:val="00F025E7"/>
    <w:rsid w:val="00F03134"/>
    <w:rsid w:val="00F0592C"/>
    <w:rsid w:val="00F059EF"/>
    <w:rsid w:val="00F06A3E"/>
    <w:rsid w:val="00F06BBE"/>
    <w:rsid w:val="00F06D89"/>
    <w:rsid w:val="00F07B1C"/>
    <w:rsid w:val="00F07E81"/>
    <w:rsid w:val="00F11088"/>
    <w:rsid w:val="00F11DB8"/>
    <w:rsid w:val="00F12045"/>
    <w:rsid w:val="00F121D8"/>
    <w:rsid w:val="00F1251B"/>
    <w:rsid w:val="00F1304B"/>
    <w:rsid w:val="00F133F4"/>
    <w:rsid w:val="00F13DE2"/>
    <w:rsid w:val="00F14ABC"/>
    <w:rsid w:val="00F17505"/>
    <w:rsid w:val="00F17EC9"/>
    <w:rsid w:val="00F20B6E"/>
    <w:rsid w:val="00F20DDD"/>
    <w:rsid w:val="00F22078"/>
    <w:rsid w:val="00F22740"/>
    <w:rsid w:val="00F22846"/>
    <w:rsid w:val="00F22A38"/>
    <w:rsid w:val="00F230EC"/>
    <w:rsid w:val="00F23A1A"/>
    <w:rsid w:val="00F24335"/>
    <w:rsid w:val="00F24AA7"/>
    <w:rsid w:val="00F24ADC"/>
    <w:rsid w:val="00F26D26"/>
    <w:rsid w:val="00F313EF"/>
    <w:rsid w:val="00F31D6D"/>
    <w:rsid w:val="00F32028"/>
    <w:rsid w:val="00F330DC"/>
    <w:rsid w:val="00F33687"/>
    <w:rsid w:val="00F33D40"/>
    <w:rsid w:val="00F3465F"/>
    <w:rsid w:val="00F34F1A"/>
    <w:rsid w:val="00F35487"/>
    <w:rsid w:val="00F3593D"/>
    <w:rsid w:val="00F370BA"/>
    <w:rsid w:val="00F37739"/>
    <w:rsid w:val="00F40119"/>
    <w:rsid w:val="00F410FC"/>
    <w:rsid w:val="00F41C4D"/>
    <w:rsid w:val="00F41FA2"/>
    <w:rsid w:val="00F429AE"/>
    <w:rsid w:val="00F42D58"/>
    <w:rsid w:val="00F43A7D"/>
    <w:rsid w:val="00F43D77"/>
    <w:rsid w:val="00F44126"/>
    <w:rsid w:val="00F4499C"/>
    <w:rsid w:val="00F44B46"/>
    <w:rsid w:val="00F44DE6"/>
    <w:rsid w:val="00F4575B"/>
    <w:rsid w:val="00F45ED5"/>
    <w:rsid w:val="00F45F04"/>
    <w:rsid w:val="00F4622D"/>
    <w:rsid w:val="00F4695F"/>
    <w:rsid w:val="00F47879"/>
    <w:rsid w:val="00F50FA4"/>
    <w:rsid w:val="00F51751"/>
    <w:rsid w:val="00F5286B"/>
    <w:rsid w:val="00F52F04"/>
    <w:rsid w:val="00F564DE"/>
    <w:rsid w:val="00F5776D"/>
    <w:rsid w:val="00F57903"/>
    <w:rsid w:val="00F6077E"/>
    <w:rsid w:val="00F61D2D"/>
    <w:rsid w:val="00F62109"/>
    <w:rsid w:val="00F63894"/>
    <w:rsid w:val="00F64008"/>
    <w:rsid w:val="00F6465E"/>
    <w:rsid w:val="00F64AEA"/>
    <w:rsid w:val="00F64F89"/>
    <w:rsid w:val="00F65F3F"/>
    <w:rsid w:val="00F67276"/>
    <w:rsid w:val="00F67D7A"/>
    <w:rsid w:val="00F70907"/>
    <w:rsid w:val="00F70DAD"/>
    <w:rsid w:val="00F710AE"/>
    <w:rsid w:val="00F71892"/>
    <w:rsid w:val="00F7278B"/>
    <w:rsid w:val="00F72B0F"/>
    <w:rsid w:val="00F72F0B"/>
    <w:rsid w:val="00F73A24"/>
    <w:rsid w:val="00F741D1"/>
    <w:rsid w:val="00F744BA"/>
    <w:rsid w:val="00F752C2"/>
    <w:rsid w:val="00F763B8"/>
    <w:rsid w:val="00F7687B"/>
    <w:rsid w:val="00F77A78"/>
    <w:rsid w:val="00F801B5"/>
    <w:rsid w:val="00F81BF9"/>
    <w:rsid w:val="00F81D3A"/>
    <w:rsid w:val="00F8222E"/>
    <w:rsid w:val="00F82AE9"/>
    <w:rsid w:val="00F82B88"/>
    <w:rsid w:val="00F84227"/>
    <w:rsid w:val="00F85DA9"/>
    <w:rsid w:val="00F8600C"/>
    <w:rsid w:val="00F86040"/>
    <w:rsid w:val="00F86E05"/>
    <w:rsid w:val="00F8783D"/>
    <w:rsid w:val="00F87E71"/>
    <w:rsid w:val="00F90325"/>
    <w:rsid w:val="00F90440"/>
    <w:rsid w:val="00F93370"/>
    <w:rsid w:val="00F93701"/>
    <w:rsid w:val="00F944C6"/>
    <w:rsid w:val="00F95160"/>
    <w:rsid w:val="00F965AB"/>
    <w:rsid w:val="00F970B3"/>
    <w:rsid w:val="00F97B90"/>
    <w:rsid w:val="00F97BBC"/>
    <w:rsid w:val="00FA0371"/>
    <w:rsid w:val="00FA047F"/>
    <w:rsid w:val="00FA06EA"/>
    <w:rsid w:val="00FA16D9"/>
    <w:rsid w:val="00FA1716"/>
    <w:rsid w:val="00FA1935"/>
    <w:rsid w:val="00FA1A8D"/>
    <w:rsid w:val="00FA1F98"/>
    <w:rsid w:val="00FA2956"/>
    <w:rsid w:val="00FA2FCF"/>
    <w:rsid w:val="00FA37D3"/>
    <w:rsid w:val="00FA390E"/>
    <w:rsid w:val="00FA3D27"/>
    <w:rsid w:val="00FA44CB"/>
    <w:rsid w:val="00FA54DB"/>
    <w:rsid w:val="00FA6C5E"/>
    <w:rsid w:val="00FA7B68"/>
    <w:rsid w:val="00FB0752"/>
    <w:rsid w:val="00FB1617"/>
    <w:rsid w:val="00FB1B00"/>
    <w:rsid w:val="00FB1FE3"/>
    <w:rsid w:val="00FB388C"/>
    <w:rsid w:val="00FB3DD5"/>
    <w:rsid w:val="00FB4ADB"/>
    <w:rsid w:val="00FB4FDA"/>
    <w:rsid w:val="00FB7864"/>
    <w:rsid w:val="00FB78B0"/>
    <w:rsid w:val="00FC017D"/>
    <w:rsid w:val="00FC03A5"/>
    <w:rsid w:val="00FC0866"/>
    <w:rsid w:val="00FC10EC"/>
    <w:rsid w:val="00FC11A1"/>
    <w:rsid w:val="00FC2161"/>
    <w:rsid w:val="00FC2362"/>
    <w:rsid w:val="00FC314A"/>
    <w:rsid w:val="00FC4FEF"/>
    <w:rsid w:val="00FC5B23"/>
    <w:rsid w:val="00FC5BF2"/>
    <w:rsid w:val="00FC5C81"/>
    <w:rsid w:val="00FC5F13"/>
    <w:rsid w:val="00FC6435"/>
    <w:rsid w:val="00FC6F78"/>
    <w:rsid w:val="00FC721C"/>
    <w:rsid w:val="00FD0077"/>
    <w:rsid w:val="00FD19BD"/>
    <w:rsid w:val="00FD1D3A"/>
    <w:rsid w:val="00FD1E6E"/>
    <w:rsid w:val="00FD39EE"/>
    <w:rsid w:val="00FD3F01"/>
    <w:rsid w:val="00FD4A14"/>
    <w:rsid w:val="00FD4EC8"/>
    <w:rsid w:val="00FD524D"/>
    <w:rsid w:val="00FD53A3"/>
    <w:rsid w:val="00FD54AF"/>
    <w:rsid w:val="00FD5555"/>
    <w:rsid w:val="00FD5867"/>
    <w:rsid w:val="00FD5F64"/>
    <w:rsid w:val="00FD684F"/>
    <w:rsid w:val="00FD748C"/>
    <w:rsid w:val="00FD7B45"/>
    <w:rsid w:val="00FE0FC2"/>
    <w:rsid w:val="00FE10F0"/>
    <w:rsid w:val="00FE2B2D"/>
    <w:rsid w:val="00FE30E8"/>
    <w:rsid w:val="00FE4A12"/>
    <w:rsid w:val="00FE4C50"/>
    <w:rsid w:val="00FE5223"/>
    <w:rsid w:val="00FE5E70"/>
    <w:rsid w:val="00FE7FD8"/>
    <w:rsid w:val="00FF039A"/>
    <w:rsid w:val="00FF0AD6"/>
    <w:rsid w:val="00FF0EAB"/>
    <w:rsid w:val="00FF15E7"/>
    <w:rsid w:val="00FF1B74"/>
    <w:rsid w:val="00FF2536"/>
    <w:rsid w:val="00FF2686"/>
    <w:rsid w:val="00FF6223"/>
    <w:rsid w:val="00FF67A4"/>
    <w:rsid w:val="00FF6ED4"/>
    <w:rsid w:val="00FF7D13"/>
    <w:rsid w:val="00FF7E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21F6F8"/>
  <w15:docId w15:val="{9640E848-813D-4F04-9D8F-4342C8CD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14042" w:themeColor="text1"/>
        <w:sz w:val="22"/>
        <w:szCs w:val="22"/>
        <w:lang w:val="en-AU" w:eastAsia="en-AU" w:bidi="ar-SA"/>
      </w:rPr>
    </w:rPrDefault>
    <w:pPrDefault>
      <w:pPr>
        <w:spacing w:before="100" w:after="1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0"/>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2AB"/>
  </w:style>
  <w:style w:type="paragraph" w:styleId="Heading1">
    <w:name w:val="heading 1"/>
    <w:basedOn w:val="Normal"/>
    <w:next w:val="Normal"/>
    <w:link w:val="Heading1Char"/>
    <w:uiPriority w:val="9"/>
    <w:qFormat/>
    <w:rsid w:val="00C73144"/>
    <w:pPr>
      <w:keepNext/>
      <w:keepLines/>
      <w:spacing w:before="480" w:after="240" w:line="500" w:lineRule="exact"/>
      <w:ind w:right="1984"/>
      <w:contextualSpacing/>
      <w:outlineLvl w:val="0"/>
    </w:pPr>
    <w:rPr>
      <w:rFonts w:asciiTheme="majorHAnsi" w:eastAsiaTheme="majorEastAsia" w:hAnsiTheme="majorHAnsi" w:cs="Times New Roman"/>
      <w:b/>
      <w:bCs/>
      <w:iCs/>
      <w:caps/>
      <w:color w:val="1C3867" w:themeColor="text2"/>
      <w:sz w:val="48"/>
      <w:szCs w:val="48"/>
      <w:lang w:val="en-US" w:bidi="en-US"/>
    </w:rPr>
  </w:style>
  <w:style w:type="paragraph" w:styleId="Heading2">
    <w:name w:val="heading 2"/>
    <w:next w:val="Normal"/>
    <w:link w:val="Heading2Char"/>
    <w:unhideWhenUsed/>
    <w:qFormat/>
    <w:rsid w:val="00BB7C3A"/>
    <w:pPr>
      <w:keepNext/>
      <w:keepLines/>
      <w:spacing w:before="240"/>
      <w:outlineLvl w:val="1"/>
    </w:pPr>
    <w:rPr>
      <w:rFonts w:asciiTheme="majorHAnsi" w:eastAsia="Times New Roman" w:hAnsiTheme="majorHAnsi" w:cs="Times New Roman"/>
      <w:b/>
      <w:bCs/>
      <w:iCs/>
      <w:color w:val="000000"/>
      <w:sz w:val="28"/>
      <w:lang w:val="en-US" w:bidi="en-US"/>
    </w:rPr>
  </w:style>
  <w:style w:type="paragraph" w:styleId="Heading3">
    <w:name w:val="heading 3"/>
    <w:basedOn w:val="Normal"/>
    <w:next w:val="Normal"/>
    <w:link w:val="Heading3Char"/>
    <w:qFormat/>
    <w:rsid w:val="00BB7C3A"/>
    <w:pPr>
      <w:keepNext/>
      <w:keepLines/>
      <w:spacing w:before="200" w:line="240" w:lineRule="auto"/>
      <w:contextualSpacing/>
      <w:outlineLvl w:val="2"/>
    </w:pPr>
    <w:rPr>
      <w:rFonts w:asciiTheme="majorHAnsi" w:eastAsia="Times New Roman" w:hAnsiTheme="majorHAnsi" w:cs="Times New Roman"/>
      <w:b/>
      <w:bCs/>
      <w:iCs/>
      <w:caps/>
      <w:color w:val="1C3867" w:themeColor="text2"/>
      <w:lang w:val="en-US" w:bidi="en-US"/>
    </w:rPr>
  </w:style>
  <w:style w:type="paragraph" w:styleId="Heading4">
    <w:name w:val="heading 4"/>
    <w:basedOn w:val="Normal"/>
    <w:next w:val="Normal"/>
    <w:link w:val="Heading4Char"/>
    <w:unhideWhenUsed/>
    <w:qFormat/>
    <w:rsid w:val="001C5785"/>
    <w:pPr>
      <w:keepNext/>
      <w:keepLines/>
      <w:spacing w:before="200" w:after="240"/>
      <w:outlineLvl w:val="3"/>
    </w:pPr>
    <w:rPr>
      <w:rFonts w:asciiTheme="majorHAnsi" w:eastAsiaTheme="majorEastAsia" w:hAnsiTheme="majorHAnsi" w:cstheme="majorBidi"/>
      <w:b/>
      <w:bCs/>
      <w:i/>
      <w:iCs/>
      <w:lang w:val="en-US"/>
    </w:rPr>
  </w:style>
  <w:style w:type="paragraph" w:styleId="Heading5">
    <w:name w:val="heading 5"/>
    <w:basedOn w:val="Normal"/>
    <w:next w:val="Normal"/>
    <w:link w:val="Heading5Char"/>
    <w:uiPriority w:val="9"/>
    <w:unhideWhenUsed/>
    <w:qFormat/>
    <w:rsid w:val="0096478F"/>
    <w:pPr>
      <w:keepNext/>
      <w:numPr>
        <w:ilvl w:val="1"/>
        <w:numId w:val="1"/>
      </w:numPr>
      <w:spacing w:before="240"/>
      <w:ind w:left="578" w:hanging="578"/>
      <w:outlineLvl w:val="4"/>
    </w:pPr>
    <w:rPr>
      <w:rFonts w:asciiTheme="majorHAnsi" w:eastAsiaTheme="majorEastAsia" w:hAnsiTheme="majorHAnsi" w:cstheme="majorBidi"/>
      <w:b/>
      <w:bCs/>
      <w:caps/>
      <w:color w:val="1C3867" w:themeColor="text2"/>
      <w:szCs w:val="26"/>
    </w:rPr>
  </w:style>
  <w:style w:type="paragraph" w:styleId="Heading6">
    <w:name w:val="heading 6"/>
    <w:basedOn w:val="Normal"/>
    <w:next w:val="Normal"/>
    <w:link w:val="Heading6Char"/>
    <w:uiPriority w:val="9"/>
    <w:unhideWhenUsed/>
    <w:qFormat/>
    <w:rsid w:val="0096478F"/>
    <w:pPr>
      <w:keepNext/>
      <w:numPr>
        <w:ilvl w:val="2"/>
        <w:numId w:val="1"/>
      </w:numPr>
      <w:spacing w:before="240"/>
      <w:outlineLvl w:val="5"/>
    </w:pPr>
    <w:rPr>
      <w:rFonts w:asciiTheme="majorHAnsi" w:eastAsiaTheme="majorEastAsia" w:hAnsiTheme="majorHAnsi" w:cstheme="majorBid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144"/>
    <w:rPr>
      <w:rFonts w:asciiTheme="majorHAnsi" w:eastAsiaTheme="majorEastAsia" w:hAnsiTheme="majorHAnsi" w:cs="Times New Roman"/>
      <w:b/>
      <w:bCs/>
      <w:iCs/>
      <w:caps/>
      <w:color w:val="1C3867" w:themeColor="text2"/>
      <w:sz w:val="48"/>
      <w:szCs w:val="48"/>
      <w:lang w:val="en-US" w:bidi="en-US"/>
    </w:rPr>
  </w:style>
  <w:style w:type="character" w:customStyle="1" w:styleId="Heading2Char">
    <w:name w:val="Heading 2 Char"/>
    <w:basedOn w:val="DefaultParagraphFont"/>
    <w:link w:val="Heading2"/>
    <w:rsid w:val="00BB7C3A"/>
    <w:rPr>
      <w:rFonts w:asciiTheme="majorHAnsi" w:eastAsia="Times New Roman" w:hAnsiTheme="majorHAnsi" w:cs="Times New Roman"/>
      <w:b/>
      <w:bCs/>
      <w:iCs/>
      <w:color w:val="000000"/>
      <w:sz w:val="28"/>
      <w:lang w:val="en-US" w:bidi="en-US"/>
    </w:rPr>
  </w:style>
  <w:style w:type="character" w:customStyle="1" w:styleId="Heading3Char">
    <w:name w:val="Heading 3 Char"/>
    <w:basedOn w:val="DefaultParagraphFont"/>
    <w:link w:val="Heading3"/>
    <w:rsid w:val="00BB7C3A"/>
    <w:rPr>
      <w:rFonts w:asciiTheme="majorHAnsi" w:eastAsia="Times New Roman" w:hAnsiTheme="majorHAnsi" w:cs="Times New Roman"/>
      <w:b/>
      <w:bCs/>
      <w:iCs/>
      <w:caps/>
      <w:color w:val="1C3867" w:themeColor="text2"/>
      <w:lang w:val="en-US" w:bidi="en-US"/>
    </w:rPr>
  </w:style>
  <w:style w:type="character" w:customStyle="1" w:styleId="Heading4Char">
    <w:name w:val="Heading 4 Char"/>
    <w:basedOn w:val="DefaultParagraphFont"/>
    <w:link w:val="Heading4"/>
    <w:rsid w:val="001C5785"/>
    <w:rPr>
      <w:rFonts w:asciiTheme="majorHAnsi" w:eastAsiaTheme="majorEastAsia" w:hAnsiTheme="majorHAnsi" w:cstheme="majorBidi"/>
      <w:b/>
      <w:bCs/>
      <w:i/>
      <w:iCs/>
      <w:lang w:val="en-US"/>
    </w:rPr>
  </w:style>
  <w:style w:type="paragraph" w:styleId="ListParagraph">
    <w:name w:val="List Paragraph"/>
    <w:basedOn w:val="Normal"/>
    <w:uiPriority w:val="34"/>
    <w:qFormat/>
    <w:rsid w:val="00481A71"/>
    <w:pPr>
      <w:spacing w:line="288" w:lineRule="auto"/>
      <w:ind w:left="720"/>
      <w:contextualSpacing/>
    </w:pPr>
    <w:rPr>
      <w:rFonts w:ascii="Calibri" w:eastAsia="Times New Roman" w:hAnsi="Calibri" w:cs="Times New Roman"/>
      <w:i/>
      <w:iCs/>
      <w:szCs w:val="20"/>
      <w:lang w:bidi="en-US"/>
    </w:rPr>
  </w:style>
  <w:style w:type="character" w:styleId="SubtleReference">
    <w:name w:val="Subtle Reference"/>
    <w:rsid w:val="00481A71"/>
    <w:rPr>
      <w:i/>
      <w:iCs/>
      <w:smallCaps/>
      <w:color w:val="C0504D"/>
      <w:u w:color="C0504D"/>
    </w:rPr>
  </w:style>
  <w:style w:type="paragraph" w:styleId="Header">
    <w:name w:val="header"/>
    <w:basedOn w:val="Normal"/>
    <w:link w:val="HeaderChar"/>
    <w:uiPriority w:val="99"/>
    <w:rsid w:val="00076007"/>
    <w:pPr>
      <w:tabs>
        <w:tab w:val="center" w:pos="4513"/>
        <w:tab w:val="right" w:pos="9026"/>
      </w:tabs>
      <w:spacing w:before="0" w:after="0" w:line="288" w:lineRule="auto"/>
      <w:ind w:right="-873"/>
      <w:jc w:val="right"/>
    </w:pPr>
    <w:rPr>
      <w:rFonts w:ascii="Calibri" w:eastAsia="Times New Roman" w:hAnsi="Calibri" w:cs="Times New Roman"/>
      <w:iCs/>
      <w:szCs w:val="20"/>
      <w:lang w:bidi="en-US"/>
    </w:rPr>
  </w:style>
  <w:style w:type="character" w:customStyle="1" w:styleId="HeaderChar">
    <w:name w:val="Header Char"/>
    <w:basedOn w:val="DefaultParagraphFont"/>
    <w:link w:val="Header"/>
    <w:uiPriority w:val="99"/>
    <w:rsid w:val="00076007"/>
    <w:rPr>
      <w:rFonts w:ascii="Calibri" w:eastAsia="Times New Roman" w:hAnsi="Calibri" w:cs="Times New Roman"/>
      <w:iCs/>
      <w:szCs w:val="20"/>
      <w:lang w:bidi="en-US"/>
    </w:rPr>
  </w:style>
  <w:style w:type="paragraph" w:styleId="Footer">
    <w:name w:val="footer"/>
    <w:basedOn w:val="Normal"/>
    <w:link w:val="FooterChar"/>
    <w:uiPriority w:val="99"/>
    <w:rsid w:val="00B108C5"/>
    <w:pPr>
      <w:spacing w:before="0" w:after="0" w:line="240" w:lineRule="auto"/>
    </w:pPr>
    <w:rPr>
      <w:rFonts w:ascii="Calibri Light" w:hAnsi="Calibri Light"/>
      <w:sz w:val="20"/>
    </w:rPr>
  </w:style>
  <w:style w:type="character" w:customStyle="1" w:styleId="FooterChar">
    <w:name w:val="Footer Char"/>
    <w:basedOn w:val="DefaultParagraphFont"/>
    <w:link w:val="Footer"/>
    <w:uiPriority w:val="99"/>
    <w:rsid w:val="00B108C5"/>
    <w:rPr>
      <w:rFonts w:ascii="Calibri Light" w:hAnsi="Calibri Light"/>
      <w:sz w:val="20"/>
    </w:rPr>
  </w:style>
  <w:style w:type="table" w:customStyle="1" w:styleId="LightList-Accent11">
    <w:name w:val="Light List - Accent 11"/>
    <w:basedOn w:val="TableNormal"/>
    <w:rsid w:val="00481A7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blBorders>
    </w:tblPr>
    <w:tblStylePr w:type="firstRow">
      <w:pPr>
        <w:spacing w:before="0" w:after="0" w:line="240" w:lineRule="auto"/>
      </w:pPr>
      <w:rPr>
        <w:b/>
        <w:bCs/>
        <w:color w:val="FFFFFF" w:themeColor="background1"/>
      </w:rPr>
      <w:tblPr/>
      <w:tcPr>
        <w:shd w:val="clear" w:color="auto" w:fill="1C3867" w:themeFill="text2"/>
      </w:tcPr>
    </w:tblStylePr>
    <w:tblStylePr w:type="lastRow">
      <w:pPr>
        <w:spacing w:before="0" w:after="0" w:line="240" w:lineRule="auto"/>
      </w:pPr>
      <w:rPr>
        <w:b/>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shd w:val="clear" w:color="auto" w:fill="C3D3EE" w:themeFill="text2" w:themeFillTint="33"/>
      </w:tcPr>
    </w:tblStylePr>
    <w:tblStylePr w:type="fir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la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style>
  <w:style w:type="paragraph" w:customStyle="1" w:styleId="TableText">
    <w:name w:val="Table Text"/>
    <w:basedOn w:val="Normal"/>
    <w:rsid w:val="00481A71"/>
    <w:pPr>
      <w:spacing w:after="0" w:line="240" w:lineRule="auto"/>
    </w:pPr>
    <w:rPr>
      <w:rFonts w:ascii="Arial" w:hAnsi="Arial"/>
      <w:i/>
      <w:iCs/>
      <w:lang w:val="en-US"/>
    </w:rPr>
  </w:style>
  <w:style w:type="paragraph" w:customStyle="1" w:styleId="TableHeading">
    <w:name w:val="Table Heading"/>
    <w:basedOn w:val="Normal"/>
    <w:rsid w:val="00481A71"/>
    <w:pPr>
      <w:spacing w:before="60" w:after="60" w:line="240" w:lineRule="auto"/>
    </w:pPr>
    <w:rPr>
      <w:rFonts w:ascii="Arial Narrow" w:hAnsi="Arial Narrow"/>
      <w:b/>
      <w:i/>
      <w:iCs/>
      <w:lang w:val="en-US"/>
    </w:rPr>
  </w:style>
  <w:style w:type="character" w:styleId="Strong">
    <w:name w:val="Strong"/>
    <w:qFormat/>
    <w:rsid w:val="00481A71"/>
    <w:rPr>
      <w:b/>
      <w:bCs/>
      <w:spacing w:val="0"/>
    </w:rPr>
  </w:style>
  <w:style w:type="paragraph" w:styleId="Quote">
    <w:name w:val="Quote"/>
    <w:basedOn w:val="Normal"/>
    <w:next w:val="Normal"/>
    <w:link w:val="QuoteChar"/>
    <w:rsid w:val="00481A71"/>
    <w:pPr>
      <w:spacing w:before="120" w:after="120" w:line="288" w:lineRule="auto"/>
    </w:pPr>
    <w:rPr>
      <w:rFonts w:ascii="Calibri" w:eastAsia="Times New Roman" w:hAnsi="Calibri" w:cs="Times New Roman"/>
      <w:b/>
      <w:color w:val="948A54"/>
      <w:szCs w:val="20"/>
      <w:lang w:bidi="en-US"/>
    </w:rPr>
  </w:style>
  <w:style w:type="character" w:customStyle="1" w:styleId="QuoteChar">
    <w:name w:val="Quote Char"/>
    <w:basedOn w:val="DefaultParagraphFont"/>
    <w:link w:val="Quote"/>
    <w:rsid w:val="00481A71"/>
    <w:rPr>
      <w:rFonts w:ascii="Calibri" w:eastAsia="Times New Roman" w:hAnsi="Calibri" w:cs="Times New Roman"/>
      <w:b/>
      <w:color w:val="948A54"/>
      <w:szCs w:val="20"/>
      <w:lang w:bidi="en-US"/>
    </w:rPr>
  </w:style>
  <w:style w:type="paragraph" w:customStyle="1" w:styleId="SOACoverPage">
    <w:name w:val="SOA Cover Page"/>
    <w:basedOn w:val="Normal"/>
    <w:rsid w:val="00481A71"/>
    <w:pPr>
      <w:spacing w:after="0" w:line="312" w:lineRule="auto"/>
      <w:jc w:val="center"/>
    </w:pPr>
    <w:rPr>
      <w:rFonts w:ascii="Century Gothic" w:eastAsia="Times New Roman" w:hAnsi="Century Gothic" w:cs="Times New Roman"/>
      <w:sz w:val="20"/>
      <w:szCs w:val="20"/>
    </w:rPr>
  </w:style>
  <w:style w:type="paragraph" w:customStyle="1" w:styleId="NoteText">
    <w:name w:val="Note Text"/>
    <w:basedOn w:val="Normal"/>
    <w:rsid w:val="00481A71"/>
    <w:pPr>
      <w:spacing w:after="240" w:line="240" w:lineRule="auto"/>
    </w:pPr>
    <w:rPr>
      <w:rFonts w:ascii="Arial" w:eastAsia="Calibri" w:hAnsi="Arial" w:cs="Times New Roman"/>
      <w:iCs/>
      <w:sz w:val="20"/>
    </w:rPr>
  </w:style>
  <w:style w:type="character" w:customStyle="1" w:styleId="Heading5Char">
    <w:name w:val="Heading 5 Char"/>
    <w:basedOn w:val="DefaultParagraphFont"/>
    <w:link w:val="Heading5"/>
    <w:uiPriority w:val="9"/>
    <w:rsid w:val="0096478F"/>
    <w:rPr>
      <w:rFonts w:asciiTheme="majorHAnsi" w:eastAsiaTheme="majorEastAsia" w:hAnsiTheme="majorHAnsi" w:cstheme="majorBidi"/>
      <w:b/>
      <w:bCs/>
      <w:caps/>
      <w:color w:val="1C3867" w:themeColor="text2"/>
      <w:szCs w:val="26"/>
    </w:rPr>
  </w:style>
  <w:style w:type="character" w:customStyle="1" w:styleId="Heading6Char">
    <w:name w:val="Heading 6 Char"/>
    <w:basedOn w:val="DefaultParagraphFont"/>
    <w:link w:val="Heading6"/>
    <w:uiPriority w:val="9"/>
    <w:rsid w:val="0096478F"/>
    <w:rPr>
      <w:rFonts w:asciiTheme="majorHAnsi" w:eastAsiaTheme="majorEastAsia" w:hAnsiTheme="majorHAnsi" w:cstheme="majorBidi"/>
      <w:b/>
      <w:bCs/>
    </w:rPr>
  </w:style>
  <w:style w:type="paragraph" w:styleId="ListBullet">
    <w:name w:val="List Bullet"/>
    <w:basedOn w:val="Normal"/>
    <w:uiPriority w:val="99"/>
    <w:unhideWhenUsed/>
    <w:qFormat/>
    <w:rsid w:val="00D04995"/>
    <w:pPr>
      <w:numPr>
        <w:numId w:val="2"/>
      </w:numPr>
    </w:pPr>
  </w:style>
  <w:style w:type="character" w:styleId="Emphasis">
    <w:name w:val="Emphasis"/>
    <w:basedOn w:val="DefaultParagraphFont"/>
    <w:uiPriority w:val="20"/>
    <w:qFormat/>
    <w:rsid w:val="003F48A6"/>
    <w:rPr>
      <w:i/>
      <w:iCs/>
    </w:rPr>
  </w:style>
  <w:style w:type="paragraph" w:customStyle="1" w:styleId="RecommendationText">
    <w:name w:val="Recommendation Text"/>
    <w:basedOn w:val="Normal"/>
    <w:rsid w:val="00481A71"/>
    <w:pPr>
      <w:spacing w:after="240" w:line="240" w:lineRule="auto"/>
      <w:ind w:left="567"/>
    </w:pPr>
    <w:rPr>
      <w:rFonts w:ascii="Arial" w:hAnsi="Arial"/>
      <w:i/>
      <w:iCs/>
      <w:lang w:val="en-US"/>
    </w:rPr>
  </w:style>
  <w:style w:type="table" w:customStyle="1" w:styleId="LightList-Accent12">
    <w:name w:val="Light List - Accent 12"/>
    <w:basedOn w:val="TableNormal"/>
    <w:rsid w:val="00481A7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blBorders>
    </w:tblPr>
    <w:tblStylePr w:type="firstRow">
      <w:pPr>
        <w:spacing w:before="0" w:after="0" w:line="240" w:lineRule="auto"/>
        <w:jc w:val="left"/>
      </w:pPr>
      <w:rPr>
        <w:b/>
        <w:bCs/>
        <w:color w:val="FFFFFF" w:themeColor="background1"/>
      </w:rPr>
      <w:tblPr/>
      <w:tcPr>
        <w:shd w:val="clear" w:color="auto" w:fill="1C3867" w:themeFill="text2"/>
      </w:tcPr>
    </w:tblStylePr>
    <w:tblStylePr w:type="lastRow">
      <w:pPr>
        <w:spacing w:before="0" w:after="0" w:line="240" w:lineRule="auto"/>
      </w:pPr>
      <w:rPr>
        <w:b/>
        <w:bCs/>
      </w:rPr>
      <w:tblPr/>
      <w:tcPr>
        <w:shd w:val="clear" w:color="auto" w:fill="C3D3EE" w:themeFill="text2" w:themeFillTint="33"/>
      </w:tcPr>
    </w:tblStylePr>
    <w:tblStylePr w:type="fir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la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style>
  <w:style w:type="paragraph" w:styleId="BodyTextIndent">
    <w:name w:val="Body Text Indent"/>
    <w:basedOn w:val="Normal"/>
    <w:link w:val="BodyTextIndentChar"/>
    <w:rsid w:val="00481A71"/>
    <w:pPr>
      <w:spacing w:after="120" w:line="240" w:lineRule="auto"/>
      <w:ind w:left="283"/>
    </w:pPr>
    <w:rPr>
      <w:rFonts w:ascii="Arial" w:eastAsia="Times New Roman" w:hAnsi="Arial" w:cs="Times New Roman"/>
      <w:szCs w:val="20"/>
    </w:rPr>
  </w:style>
  <w:style w:type="character" w:customStyle="1" w:styleId="BodyTextIndentChar">
    <w:name w:val="Body Text Indent Char"/>
    <w:basedOn w:val="DefaultParagraphFont"/>
    <w:link w:val="BodyTextIndent"/>
    <w:rsid w:val="00481A71"/>
    <w:rPr>
      <w:rFonts w:ascii="Arial" w:eastAsia="Times New Roman" w:hAnsi="Arial" w:cs="Times New Roman"/>
      <w:szCs w:val="20"/>
    </w:rPr>
  </w:style>
  <w:style w:type="table" w:styleId="TableGrid">
    <w:name w:val="Table Grid"/>
    <w:basedOn w:val="TableNormal"/>
    <w:uiPriority w:val="59"/>
    <w:rsid w:val="00481A71"/>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rsid w:val="005672D8"/>
    <w:pPr>
      <w:spacing w:before="0" w:after="80" w:line="240" w:lineRule="auto"/>
    </w:pPr>
    <w:rPr>
      <w:rFonts w:ascii="Calibri Light" w:eastAsia="Times New Roman" w:hAnsi="Calibri Light" w:cs="Times New Roman"/>
      <w:iCs/>
      <w:color w:val="85754E" w:themeColor="background2"/>
      <w:spacing w:val="10"/>
      <w:sz w:val="52"/>
      <w:szCs w:val="48"/>
      <w:lang w:bidi="en-US"/>
    </w:rPr>
  </w:style>
  <w:style w:type="character" w:customStyle="1" w:styleId="TitleChar">
    <w:name w:val="Title Char"/>
    <w:basedOn w:val="DefaultParagraphFont"/>
    <w:link w:val="Title"/>
    <w:uiPriority w:val="10"/>
    <w:rsid w:val="005672D8"/>
    <w:rPr>
      <w:rFonts w:ascii="Calibri Light" w:eastAsia="Times New Roman" w:hAnsi="Calibri Light" w:cs="Times New Roman"/>
      <w:iCs/>
      <w:color w:val="85754E" w:themeColor="background2"/>
      <w:spacing w:val="10"/>
      <w:sz w:val="52"/>
      <w:szCs w:val="48"/>
      <w:lang w:bidi="en-US"/>
    </w:rPr>
  </w:style>
  <w:style w:type="paragraph" w:customStyle="1" w:styleId="Default">
    <w:name w:val="Default"/>
    <w:rsid w:val="00481A71"/>
    <w:pPr>
      <w:autoSpaceDE w:val="0"/>
      <w:autoSpaceDN w:val="0"/>
      <w:adjustRightInd w:val="0"/>
      <w:spacing w:after="0" w:line="240" w:lineRule="auto"/>
    </w:pPr>
    <w:rPr>
      <w:rFonts w:ascii="Trajan" w:eastAsia="Calibri" w:hAnsi="Trajan" w:cs="Trajan"/>
      <w:color w:val="000000"/>
      <w:sz w:val="24"/>
      <w:szCs w:val="24"/>
    </w:rPr>
  </w:style>
  <w:style w:type="paragraph" w:styleId="BalloonText">
    <w:name w:val="Balloon Text"/>
    <w:basedOn w:val="Normal"/>
    <w:link w:val="BalloonTextChar"/>
    <w:uiPriority w:val="99"/>
    <w:semiHidden/>
    <w:unhideWhenUsed/>
    <w:rsid w:val="00481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A71"/>
    <w:rPr>
      <w:rFonts w:ascii="Tahoma" w:hAnsi="Tahoma" w:cs="Tahoma"/>
      <w:sz w:val="16"/>
      <w:szCs w:val="16"/>
    </w:rPr>
  </w:style>
  <w:style w:type="character" w:styleId="CommentReference">
    <w:name w:val="annotation reference"/>
    <w:basedOn w:val="DefaultParagraphFont"/>
    <w:uiPriority w:val="99"/>
    <w:semiHidden/>
    <w:unhideWhenUsed/>
    <w:rsid w:val="00481A71"/>
    <w:rPr>
      <w:sz w:val="16"/>
      <w:szCs w:val="16"/>
    </w:rPr>
  </w:style>
  <w:style w:type="paragraph" w:styleId="CommentText">
    <w:name w:val="annotation text"/>
    <w:basedOn w:val="Normal"/>
    <w:link w:val="CommentTextChar"/>
    <w:uiPriority w:val="99"/>
    <w:unhideWhenUsed/>
    <w:rsid w:val="00481A71"/>
    <w:pPr>
      <w:spacing w:line="240" w:lineRule="auto"/>
    </w:pPr>
    <w:rPr>
      <w:sz w:val="20"/>
      <w:szCs w:val="20"/>
    </w:rPr>
  </w:style>
  <w:style w:type="character" w:customStyle="1" w:styleId="CommentTextChar">
    <w:name w:val="Comment Text Char"/>
    <w:basedOn w:val="DefaultParagraphFont"/>
    <w:link w:val="CommentText"/>
    <w:uiPriority w:val="99"/>
    <w:rsid w:val="00481A71"/>
    <w:rPr>
      <w:sz w:val="20"/>
      <w:szCs w:val="20"/>
    </w:rPr>
  </w:style>
  <w:style w:type="paragraph" w:styleId="CommentSubject">
    <w:name w:val="annotation subject"/>
    <w:basedOn w:val="CommentText"/>
    <w:next w:val="CommentText"/>
    <w:link w:val="CommentSubjectChar"/>
    <w:uiPriority w:val="99"/>
    <w:semiHidden/>
    <w:unhideWhenUsed/>
    <w:rsid w:val="00481A71"/>
    <w:rPr>
      <w:b/>
      <w:bCs/>
    </w:rPr>
  </w:style>
  <w:style w:type="character" w:customStyle="1" w:styleId="CommentSubjectChar">
    <w:name w:val="Comment Subject Char"/>
    <w:basedOn w:val="CommentTextChar"/>
    <w:link w:val="CommentSubject"/>
    <w:uiPriority w:val="99"/>
    <w:semiHidden/>
    <w:rsid w:val="00481A71"/>
    <w:rPr>
      <w:b/>
      <w:bCs/>
      <w:sz w:val="20"/>
      <w:szCs w:val="20"/>
    </w:rPr>
  </w:style>
  <w:style w:type="character" w:styleId="PlaceholderText">
    <w:name w:val="Placeholder Text"/>
    <w:basedOn w:val="DefaultParagraphFont"/>
    <w:uiPriority w:val="99"/>
    <w:rsid w:val="00481A71"/>
    <w:rPr>
      <w:color w:val="808080"/>
    </w:rPr>
  </w:style>
  <w:style w:type="table" w:customStyle="1" w:styleId="LightList-Accent13">
    <w:name w:val="Light List - Accent 13"/>
    <w:basedOn w:val="TableNormal"/>
    <w:uiPriority w:val="61"/>
    <w:rsid w:val="009A1740"/>
    <w:pPr>
      <w:spacing w:after="0" w:line="240" w:lineRule="auto"/>
    </w:pPr>
    <w:tblPr>
      <w:tblStyleRowBandSize w:val="1"/>
      <w:tblStyleColBandSize w:val="1"/>
      <w:tblBorders>
        <w:top w:val="single" w:sz="8" w:space="0" w:color="1C3867" w:themeColor="accent1"/>
        <w:left w:val="single" w:sz="8" w:space="0" w:color="1C3867" w:themeColor="accent1"/>
        <w:bottom w:val="single" w:sz="8" w:space="0" w:color="1C3867" w:themeColor="accent1"/>
        <w:right w:val="single" w:sz="8" w:space="0" w:color="1C3867" w:themeColor="accent1"/>
      </w:tblBorders>
    </w:tblPr>
    <w:tblStylePr w:type="firstRow">
      <w:pPr>
        <w:spacing w:before="0" w:after="0" w:line="240" w:lineRule="auto"/>
      </w:pPr>
      <w:rPr>
        <w:b/>
        <w:bCs/>
        <w:color w:val="FFFFFF" w:themeColor="background1"/>
      </w:rPr>
      <w:tblPr/>
      <w:tcPr>
        <w:shd w:val="clear" w:color="auto" w:fill="1C3867" w:themeFill="accent1"/>
      </w:tcPr>
    </w:tblStylePr>
    <w:tblStylePr w:type="lastRow">
      <w:pPr>
        <w:spacing w:before="0" w:after="0" w:line="240" w:lineRule="auto"/>
      </w:pPr>
      <w:rPr>
        <w:b/>
        <w:bCs/>
      </w:rPr>
      <w:tblPr/>
      <w:tcPr>
        <w:tcBorders>
          <w:top w:val="double" w:sz="6" w:space="0" w:color="1C3867" w:themeColor="accent1"/>
          <w:left w:val="single" w:sz="8" w:space="0" w:color="1C3867" w:themeColor="accent1"/>
          <w:bottom w:val="single" w:sz="8" w:space="0" w:color="1C3867" w:themeColor="accent1"/>
          <w:right w:val="single" w:sz="8" w:space="0" w:color="1C3867" w:themeColor="accent1"/>
        </w:tcBorders>
      </w:tcPr>
    </w:tblStylePr>
    <w:tblStylePr w:type="firstCol">
      <w:rPr>
        <w:b/>
        <w:bCs/>
      </w:rPr>
    </w:tblStylePr>
    <w:tblStylePr w:type="lastCol">
      <w:rPr>
        <w:b/>
        <w:bCs/>
      </w:rPr>
    </w:tblStylePr>
    <w:tblStylePr w:type="band1Vert">
      <w:tblPr/>
      <w:tcPr>
        <w:tcBorders>
          <w:top w:val="single" w:sz="8" w:space="0" w:color="1C3867" w:themeColor="accent1"/>
          <w:left w:val="single" w:sz="8" w:space="0" w:color="1C3867" w:themeColor="accent1"/>
          <w:bottom w:val="single" w:sz="8" w:space="0" w:color="1C3867" w:themeColor="accent1"/>
          <w:right w:val="single" w:sz="8" w:space="0" w:color="1C3867" w:themeColor="accent1"/>
        </w:tcBorders>
      </w:tcPr>
    </w:tblStylePr>
    <w:tblStylePr w:type="band1Horz">
      <w:tblPr/>
      <w:tcPr>
        <w:tcBorders>
          <w:top w:val="single" w:sz="8" w:space="0" w:color="1C3867" w:themeColor="accent1"/>
          <w:left w:val="single" w:sz="8" w:space="0" w:color="1C3867" w:themeColor="accent1"/>
          <w:bottom w:val="single" w:sz="8" w:space="0" w:color="1C3867" w:themeColor="accent1"/>
          <w:right w:val="single" w:sz="8" w:space="0" w:color="1C3867" w:themeColor="accent1"/>
        </w:tcBorders>
      </w:tcPr>
    </w:tblStylePr>
  </w:style>
  <w:style w:type="table" w:customStyle="1" w:styleId="LightList-Accent111">
    <w:name w:val="Light List - Accent 111"/>
    <w:basedOn w:val="TableNormal"/>
    <w:rsid w:val="00A933B9"/>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blBorders>
    </w:tblPr>
    <w:tblStylePr w:type="firstRow">
      <w:pPr>
        <w:spacing w:before="0" w:after="0" w:line="240" w:lineRule="auto"/>
      </w:pPr>
      <w:rPr>
        <w:b/>
        <w:bCs/>
        <w:color w:val="FFFFFF" w:themeColor="background1"/>
      </w:rPr>
      <w:tblPr/>
      <w:tcPr>
        <w:shd w:val="clear" w:color="auto" w:fill="1C3867" w:themeFill="text2"/>
      </w:tcPr>
    </w:tblStylePr>
    <w:tblStylePr w:type="lastRow">
      <w:pPr>
        <w:spacing w:before="0" w:after="0" w:line="240" w:lineRule="auto"/>
      </w:pPr>
      <w:rPr>
        <w:b/>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shd w:val="clear" w:color="auto" w:fill="C3D3EE" w:themeFill="text2" w:themeFillTint="33"/>
      </w:tcPr>
    </w:tblStylePr>
    <w:tblStylePr w:type="fir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la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style>
  <w:style w:type="paragraph" w:styleId="NoSpacing">
    <w:name w:val="No Spacing"/>
    <w:basedOn w:val="Normal"/>
    <w:link w:val="NoSpacingChar"/>
    <w:uiPriority w:val="1"/>
    <w:qFormat/>
    <w:rsid w:val="00A933B9"/>
    <w:pPr>
      <w:spacing w:after="0" w:line="240" w:lineRule="auto"/>
    </w:pPr>
    <w:rPr>
      <w:iCs/>
      <w:szCs w:val="20"/>
      <w:lang w:eastAsia="en-US"/>
    </w:rPr>
  </w:style>
  <w:style w:type="character" w:customStyle="1" w:styleId="NoSpacingChar">
    <w:name w:val="No Spacing Char"/>
    <w:basedOn w:val="DefaultParagraphFont"/>
    <w:link w:val="NoSpacing"/>
    <w:uiPriority w:val="1"/>
    <w:rsid w:val="00A933B9"/>
    <w:rPr>
      <w:iCs/>
      <w:szCs w:val="20"/>
      <w:lang w:eastAsia="en-US"/>
    </w:rPr>
  </w:style>
  <w:style w:type="table" w:customStyle="1" w:styleId="LightList-Accent121">
    <w:name w:val="Light List - Accent 121"/>
    <w:basedOn w:val="TableNormal"/>
    <w:rsid w:val="00CF779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Pr>
    <w:tblStylePr w:type="firstRow">
      <w:pPr>
        <w:spacing w:before="0" w:after="0" w:line="240" w:lineRule="auto"/>
        <w:jc w:val="left"/>
      </w:pPr>
      <w:rPr>
        <w:b/>
        <w:bCs/>
        <w:color w:val="FFFFFF"/>
      </w:rPr>
      <w:tblPr/>
      <w:tcPr>
        <w:shd w:val="clear" w:color="auto" w:fill="1F497D"/>
      </w:tcPr>
    </w:tblStylePr>
    <w:tblStylePr w:type="lastRow">
      <w:pPr>
        <w:spacing w:before="0" w:after="0" w:line="240" w:lineRule="auto"/>
      </w:pPr>
      <w:rPr>
        <w:b/>
        <w:bCs/>
      </w:rPr>
      <w:tblPr/>
      <w:tcPr>
        <w:shd w:val="clear" w:color="auto" w:fill="C6D9F1"/>
      </w:tcPr>
    </w:tblStylePr>
    <w:tblStylePr w:type="firstCol">
      <w:rPr>
        <w:b w:val="0"/>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lastCol">
      <w:rPr>
        <w:b w:val="0"/>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1Vert">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2Vert">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1Horz">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2Horz">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style>
  <w:style w:type="table" w:customStyle="1" w:styleId="LightList-Accent112">
    <w:name w:val="Light List - Accent 112"/>
    <w:basedOn w:val="TableNormal"/>
    <w:rsid w:val="005970B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blBorders>
    </w:tblPr>
    <w:tblStylePr w:type="firstRow">
      <w:pPr>
        <w:spacing w:before="0" w:after="0" w:line="240" w:lineRule="auto"/>
      </w:pPr>
      <w:rPr>
        <w:b/>
        <w:bCs/>
        <w:color w:val="FFFFFF" w:themeColor="background1"/>
      </w:rPr>
      <w:tblPr/>
      <w:tcPr>
        <w:shd w:val="clear" w:color="auto" w:fill="1C3867" w:themeFill="text2"/>
      </w:tcPr>
    </w:tblStylePr>
    <w:tblStylePr w:type="lastRow">
      <w:pPr>
        <w:spacing w:before="0" w:after="0" w:line="240" w:lineRule="auto"/>
      </w:pPr>
      <w:rPr>
        <w:b/>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shd w:val="clear" w:color="auto" w:fill="C3D3EE" w:themeFill="text2" w:themeFillTint="33"/>
      </w:tcPr>
    </w:tblStylePr>
    <w:tblStylePr w:type="fir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lastCol">
      <w:rPr>
        <w:b w:val="0"/>
        <w:bCs/>
      </w:rPr>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Vert">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1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tblStylePr w:type="band2Horz">
      <w:tblPr/>
      <w:tcPr>
        <w:tcBorders>
          <w:top w:val="single" w:sz="4" w:space="0" w:color="423A27" w:themeColor="background2" w:themeShade="80"/>
          <w:left w:val="single" w:sz="4" w:space="0" w:color="423A27" w:themeColor="background2" w:themeShade="80"/>
          <w:bottom w:val="single" w:sz="4" w:space="0" w:color="423A27" w:themeColor="background2" w:themeShade="80"/>
          <w:right w:val="single" w:sz="4" w:space="0" w:color="423A27" w:themeColor="background2" w:themeShade="80"/>
          <w:insideH w:val="single" w:sz="4" w:space="0" w:color="423A27" w:themeColor="background2" w:themeShade="80"/>
          <w:insideV w:val="single" w:sz="4" w:space="0" w:color="423A27" w:themeColor="background2" w:themeShade="80"/>
        </w:tcBorders>
      </w:tcPr>
    </w:tblStylePr>
  </w:style>
  <w:style w:type="paragraph" w:styleId="ListNumber">
    <w:name w:val="List Number"/>
    <w:basedOn w:val="Normal"/>
    <w:uiPriority w:val="99"/>
    <w:unhideWhenUsed/>
    <w:qFormat/>
    <w:rsid w:val="003F48A6"/>
    <w:pPr>
      <w:numPr>
        <w:numId w:val="4"/>
      </w:numPr>
      <w:contextualSpacing/>
    </w:pPr>
  </w:style>
  <w:style w:type="paragraph" w:customStyle="1" w:styleId="Spacer-1px">
    <w:name w:val="Spacer - 1px"/>
    <w:basedOn w:val="Normal"/>
    <w:rsid w:val="000F52AB"/>
    <w:pPr>
      <w:spacing w:before="0" w:after="0" w:line="240" w:lineRule="auto"/>
    </w:pPr>
    <w:rPr>
      <w:noProof/>
      <w:sz w:val="2"/>
      <w:szCs w:val="2"/>
    </w:rPr>
  </w:style>
  <w:style w:type="paragraph" w:styleId="Subtitle">
    <w:name w:val="Subtitle"/>
    <w:basedOn w:val="Normal"/>
    <w:next w:val="Normal"/>
    <w:link w:val="SubtitleChar"/>
    <w:uiPriority w:val="11"/>
    <w:qFormat/>
    <w:rsid w:val="00F07E81"/>
    <w:pPr>
      <w:spacing w:before="60" w:after="0" w:line="216" w:lineRule="auto"/>
    </w:pPr>
    <w:rPr>
      <w:sz w:val="23"/>
    </w:rPr>
  </w:style>
  <w:style w:type="character" w:customStyle="1" w:styleId="SubtitleChar">
    <w:name w:val="Subtitle Char"/>
    <w:basedOn w:val="DefaultParagraphFont"/>
    <w:link w:val="Subtitle"/>
    <w:uiPriority w:val="11"/>
    <w:rsid w:val="00F07E81"/>
    <w:rPr>
      <w:sz w:val="23"/>
    </w:rPr>
  </w:style>
  <w:style w:type="paragraph" w:customStyle="1" w:styleId="Spacer-cover">
    <w:name w:val="Spacer - cover"/>
    <w:basedOn w:val="Normal"/>
    <w:rsid w:val="005672D8"/>
    <w:pPr>
      <w:spacing w:after="9960"/>
    </w:pPr>
  </w:style>
  <w:style w:type="paragraph" w:customStyle="1" w:styleId="Coverservicesboxtext">
    <w:name w:val="Cover services box text"/>
    <w:basedOn w:val="Normal"/>
    <w:rsid w:val="00546F37"/>
    <w:pPr>
      <w:spacing w:before="0" w:after="0"/>
      <w:jc w:val="center"/>
    </w:pPr>
    <w:rPr>
      <w:b/>
      <w:caps/>
      <w:color w:val="FFFFFF" w:themeColor="background1"/>
      <w:sz w:val="27"/>
      <w:szCs w:val="27"/>
    </w:rPr>
  </w:style>
  <w:style w:type="paragraph" w:customStyle="1" w:styleId="Covercontactdetails">
    <w:name w:val="Cover contact details"/>
    <w:basedOn w:val="Normal"/>
    <w:rsid w:val="00050628"/>
    <w:pPr>
      <w:spacing w:before="0" w:after="0" w:line="240" w:lineRule="auto"/>
      <w:ind w:left="-142" w:right="-228"/>
      <w:jc w:val="center"/>
    </w:pPr>
    <w:rPr>
      <w:rFonts w:ascii="Calibri Light" w:hAnsi="Calibri Light"/>
      <w:sz w:val="21"/>
      <w:szCs w:val="21"/>
    </w:rPr>
  </w:style>
  <w:style w:type="paragraph" w:customStyle="1" w:styleId="Covercontactheading">
    <w:name w:val="Cover contact heading"/>
    <w:basedOn w:val="Covercontactdetails"/>
    <w:rsid w:val="00050628"/>
    <w:rPr>
      <w:sz w:val="23"/>
      <w:szCs w:val="23"/>
    </w:rPr>
  </w:style>
  <w:style w:type="character" w:customStyle="1" w:styleId="BoldBlue">
    <w:name w:val="Bold + Blue"/>
    <w:basedOn w:val="DefaultParagraphFont"/>
    <w:uiPriority w:val="1"/>
    <w:qFormat/>
    <w:rsid w:val="00050628"/>
    <w:rPr>
      <w:b/>
      <w:color w:val="1C3867" w:themeColor="text2"/>
    </w:rPr>
  </w:style>
  <w:style w:type="character" w:customStyle="1" w:styleId="Blue">
    <w:name w:val="Blue"/>
    <w:basedOn w:val="DefaultParagraphFont"/>
    <w:uiPriority w:val="1"/>
    <w:qFormat/>
    <w:rsid w:val="00D9079F"/>
    <w:rPr>
      <w:color w:val="1C3867" w:themeColor="text2"/>
    </w:rPr>
  </w:style>
  <w:style w:type="paragraph" w:customStyle="1" w:styleId="Coverheader">
    <w:name w:val="Cover header"/>
    <w:basedOn w:val="Header"/>
    <w:rsid w:val="00076007"/>
    <w:pPr>
      <w:ind w:right="0"/>
    </w:pPr>
    <w:rPr>
      <w:noProof/>
    </w:rPr>
  </w:style>
  <w:style w:type="character" w:styleId="PageNumber">
    <w:name w:val="page number"/>
    <w:uiPriority w:val="99"/>
    <w:unhideWhenUsed/>
    <w:rsid w:val="00B27AAF"/>
    <w:rPr>
      <w:color w:val="1C3867" w:themeColor="text2"/>
    </w:rPr>
  </w:style>
  <w:style w:type="paragraph" w:customStyle="1" w:styleId="CoverpageTitle">
    <w:name w:val="Coverpage Title"/>
    <w:basedOn w:val="Normal"/>
    <w:rsid w:val="003F65C3"/>
    <w:pPr>
      <w:spacing w:after="240"/>
    </w:pPr>
    <w:rPr>
      <w:rFonts w:ascii="Calibri Light" w:hAnsi="Calibri Light"/>
      <w:sz w:val="64"/>
      <w:szCs w:val="64"/>
    </w:rPr>
  </w:style>
  <w:style w:type="paragraph" w:customStyle="1" w:styleId="CoverpageSubtitle">
    <w:name w:val="Coverpage Subtitle"/>
    <w:basedOn w:val="Normal"/>
    <w:rsid w:val="00D467FF"/>
    <w:pPr>
      <w:spacing w:before="0" w:after="120" w:line="240" w:lineRule="auto"/>
      <w:ind w:right="346"/>
    </w:pPr>
    <w:rPr>
      <w:rFonts w:ascii="Calibri Light" w:eastAsia="Times New Roman" w:hAnsi="Calibri Light" w:cs="Times New Roman"/>
      <w:noProof/>
      <w:sz w:val="26"/>
      <w:szCs w:val="26"/>
      <w:lang w:val="en-US"/>
    </w:rPr>
  </w:style>
  <w:style w:type="paragraph" w:customStyle="1" w:styleId="CoverpageContactDetails">
    <w:name w:val="Coverpage Contact Details"/>
    <w:basedOn w:val="Normal"/>
    <w:rsid w:val="00D467FF"/>
    <w:pPr>
      <w:tabs>
        <w:tab w:val="left" w:pos="882"/>
      </w:tabs>
      <w:spacing w:before="0" w:after="120" w:line="240" w:lineRule="auto"/>
    </w:pPr>
    <w:rPr>
      <w:rFonts w:ascii="Calibri" w:eastAsia="Times New Roman" w:hAnsi="Calibri" w:cs="Times New Roman"/>
      <w:szCs w:val="20"/>
      <w:lang w:val="en-US"/>
    </w:rPr>
  </w:style>
  <w:style w:type="paragraph" w:styleId="TOCHeading">
    <w:name w:val="TOC Heading"/>
    <w:basedOn w:val="Normal"/>
    <w:next w:val="Normal"/>
    <w:uiPriority w:val="39"/>
    <w:unhideWhenUsed/>
    <w:rsid w:val="00546F37"/>
    <w:pPr>
      <w:spacing w:before="0" w:after="240" w:line="500" w:lineRule="exact"/>
    </w:pPr>
    <w:rPr>
      <w:b/>
      <w:caps/>
      <w:color w:val="1C3867" w:themeColor="text2"/>
      <w:sz w:val="48"/>
      <w:szCs w:val="48"/>
    </w:rPr>
  </w:style>
  <w:style w:type="paragraph" w:styleId="TOC1">
    <w:name w:val="toc 1"/>
    <w:basedOn w:val="DividerPageTitle"/>
    <w:next w:val="Normal"/>
    <w:autoRedefine/>
    <w:uiPriority w:val="39"/>
    <w:unhideWhenUsed/>
    <w:rsid w:val="00CB141D"/>
    <w:pPr>
      <w:pBdr>
        <w:between w:val="single" w:sz="4" w:space="1" w:color="85754E" w:themeColor="background2"/>
      </w:pBdr>
      <w:tabs>
        <w:tab w:val="right" w:pos="9072"/>
      </w:tabs>
      <w:spacing w:before="120" w:after="60"/>
      <w:ind w:left="0" w:right="1655" w:firstLine="0"/>
    </w:pPr>
    <w:rPr>
      <w:b w:val="0"/>
      <w:noProof/>
      <w:color w:val="85754E" w:themeColor="accent2"/>
      <w:sz w:val="26"/>
    </w:rPr>
  </w:style>
  <w:style w:type="character" w:styleId="Hyperlink">
    <w:name w:val="Hyperlink"/>
    <w:basedOn w:val="DefaultParagraphFont"/>
    <w:uiPriority w:val="99"/>
    <w:unhideWhenUsed/>
    <w:rsid w:val="00546F37"/>
    <w:rPr>
      <w:color w:val="414042" w:themeColor="hyperlink"/>
      <w:u w:val="single"/>
    </w:rPr>
  </w:style>
  <w:style w:type="table" w:styleId="ListTable3-Accent1">
    <w:name w:val="List Table 3 Accent 1"/>
    <w:basedOn w:val="TableNormal"/>
    <w:uiPriority w:val="48"/>
    <w:rsid w:val="00B94863"/>
    <w:pPr>
      <w:spacing w:after="0" w:line="240" w:lineRule="auto"/>
    </w:pPr>
    <w:tblPr>
      <w:tblStyleRowBandSize w:val="1"/>
      <w:tblStyleColBandSize w:val="1"/>
      <w:tblBorders>
        <w:top w:val="single" w:sz="4" w:space="0" w:color="1C3867" w:themeColor="accent1"/>
        <w:left w:val="single" w:sz="4" w:space="0" w:color="1C3867" w:themeColor="accent1"/>
        <w:bottom w:val="single" w:sz="4" w:space="0" w:color="1C3867" w:themeColor="accent1"/>
        <w:right w:val="single" w:sz="4" w:space="0" w:color="1C3867" w:themeColor="accent1"/>
      </w:tblBorders>
    </w:tblPr>
    <w:tblStylePr w:type="firstRow">
      <w:rPr>
        <w:b/>
        <w:bCs/>
        <w:color w:val="FFFFFF" w:themeColor="background1"/>
      </w:rPr>
      <w:tblPr/>
      <w:tcPr>
        <w:shd w:val="clear" w:color="auto" w:fill="1C3867" w:themeFill="accent1"/>
      </w:tcPr>
    </w:tblStylePr>
    <w:tblStylePr w:type="lastRow">
      <w:rPr>
        <w:b/>
        <w:bCs/>
      </w:rPr>
      <w:tblPr/>
      <w:tcPr>
        <w:tcBorders>
          <w:top w:val="double" w:sz="4" w:space="0" w:color="1C386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3867" w:themeColor="accent1"/>
          <w:right w:val="single" w:sz="4" w:space="0" w:color="1C3867" w:themeColor="accent1"/>
        </w:tcBorders>
      </w:tcPr>
    </w:tblStylePr>
    <w:tblStylePr w:type="band1Horz">
      <w:tblPr/>
      <w:tcPr>
        <w:tcBorders>
          <w:top w:val="single" w:sz="4" w:space="0" w:color="1C3867" w:themeColor="accent1"/>
          <w:bottom w:val="single" w:sz="4" w:space="0" w:color="1C386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3867" w:themeColor="accent1"/>
          <w:left w:val="nil"/>
        </w:tcBorders>
      </w:tcPr>
    </w:tblStylePr>
    <w:tblStylePr w:type="swCell">
      <w:tblPr/>
      <w:tcPr>
        <w:tcBorders>
          <w:top w:val="double" w:sz="4" w:space="0" w:color="1C3867" w:themeColor="accent1"/>
          <w:right w:val="nil"/>
        </w:tcBorders>
      </w:tcPr>
    </w:tblStylePr>
  </w:style>
  <w:style w:type="table" w:customStyle="1" w:styleId="HNWTable01">
    <w:name w:val="HNW Table 01"/>
    <w:basedOn w:val="TableNormal"/>
    <w:uiPriority w:val="99"/>
    <w:rsid w:val="00EC6793"/>
    <w:pPr>
      <w:spacing w:before="40" w:after="40"/>
    </w:pPr>
    <w:tblPr>
      <w:tblBorders>
        <w:bottom w:val="single" w:sz="4" w:space="0" w:color="85754E" w:themeColor="background2"/>
        <w:insideH w:val="single" w:sz="4" w:space="0" w:color="85754E" w:themeColor="background2"/>
      </w:tblBorders>
    </w:tblPr>
    <w:tblStylePr w:type="firstRow">
      <w:rPr>
        <w:b/>
        <w:color w:val="FFFFFF" w:themeColor="background1"/>
      </w:rPr>
      <w:tblPr>
        <w:tblCellMar>
          <w:top w:w="0" w:type="dxa"/>
          <w:left w:w="85" w:type="dxa"/>
          <w:bottom w:w="0" w:type="dxa"/>
          <w:right w:w="85" w:type="dxa"/>
        </w:tblCellMar>
      </w:tblPr>
      <w:tcPr>
        <w:tcBorders>
          <w:top w:val="nil"/>
          <w:left w:val="nil"/>
          <w:bottom w:val="nil"/>
          <w:right w:val="nil"/>
          <w:insideH w:val="nil"/>
          <w:insideV w:val="single" w:sz="4" w:space="0" w:color="FFFFFF" w:themeColor="background1"/>
          <w:tl2br w:val="nil"/>
          <w:tr2bl w:val="nil"/>
        </w:tcBorders>
        <w:shd w:val="clear" w:color="auto" w:fill="1C3867" w:themeFill="text2"/>
      </w:tcPr>
    </w:tblStylePr>
    <w:tblStylePr w:type="lastRow">
      <w:rPr>
        <w:b/>
      </w:rPr>
      <w:tblPr/>
      <w:tcPr>
        <w:tcBorders>
          <w:bottom w:val="single" w:sz="4" w:space="0" w:color="85754E" w:themeColor="background2"/>
        </w:tcBorders>
        <w:shd w:val="clear" w:color="auto" w:fill="F3F1ED" w:themeFill="accent6"/>
      </w:tcPr>
    </w:tblStylePr>
    <w:tblStylePr w:type="firstCol">
      <w:rPr>
        <w:b/>
        <w:color w:val="FFFFFF" w:themeColor="background1"/>
      </w:rPr>
      <w:tblPr/>
      <w:tcPr>
        <w:tcBorders>
          <w:bottom w:val="nil"/>
          <w:insideH w:val="dotted" w:sz="4" w:space="0" w:color="FFFFFF" w:themeColor="background1"/>
        </w:tcBorders>
        <w:shd w:val="clear" w:color="auto" w:fill="1C3867" w:themeFill="text2"/>
      </w:tcPr>
    </w:tblStylePr>
  </w:style>
  <w:style w:type="paragraph" w:customStyle="1" w:styleId="DividerPageTitle">
    <w:name w:val="Divider Page Title"/>
    <w:basedOn w:val="Title"/>
    <w:qFormat/>
    <w:rsid w:val="00AE7144"/>
    <w:pPr>
      <w:ind w:left="4536" w:right="-472" w:hanging="4962"/>
    </w:pPr>
    <w:rPr>
      <w:rFonts w:asciiTheme="majorHAnsi" w:hAnsiTheme="majorHAnsi"/>
      <w:b/>
    </w:rPr>
  </w:style>
  <w:style w:type="paragraph" w:styleId="ListNumber2">
    <w:name w:val="List Number 2"/>
    <w:basedOn w:val="Normal"/>
    <w:uiPriority w:val="99"/>
    <w:unhideWhenUsed/>
    <w:qFormat/>
    <w:rsid w:val="000B4975"/>
    <w:pPr>
      <w:numPr>
        <w:numId w:val="5"/>
      </w:numPr>
      <w:ind w:left="714" w:hanging="357"/>
      <w:contextualSpacing/>
    </w:pPr>
  </w:style>
  <w:style w:type="paragraph" w:styleId="ListBullet2">
    <w:name w:val="List Bullet 2"/>
    <w:basedOn w:val="Normal"/>
    <w:uiPriority w:val="99"/>
    <w:unhideWhenUsed/>
    <w:qFormat/>
    <w:rsid w:val="000B4975"/>
    <w:pPr>
      <w:numPr>
        <w:numId w:val="3"/>
      </w:numPr>
      <w:ind w:left="714" w:hanging="357"/>
      <w:contextualSpacing/>
    </w:pPr>
  </w:style>
  <w:style w:type="paragraph" w:customStyle="1" w:styleId="DividerPageNumber">
    <w:name w:val="Divider Page Number"/>
    <w:basedOn w:val="DividerPageTitle"/>
    <w:qFormat/>
    <w:rsid w:val="003C5147"/>
    <w:pPr>
      <w:spacing w:before="240" w:after="0"/>
    </w:pPr>
    <w:rPr>
      <w:rFonts w:ascii="Calibri Light" w:hAnsi="Calibri Light"/>
      <w:b w:val="0"/>
      <w:color w:val="C2B8A4" w:themeColor="accent6" w:themeShade="BF"/>
      <w:sz w:val="100"/>
      <w:szCs w:val="100"/>
    </w:rPr>
  </w:style>
  <w:style w:type="paragraph" w:styleId="TOC2">
    <w:name w:val="toc 2"/>
    <w:basedOn w:val="Normal"/>
    <w:next w:val="Normal"/>
    <w:autoRedefine/>
    <w:uiPriority w:val="39"/>
    <w:unhideWhenUsed/>
    <w:rsid w:val="00CB141D"/>
    <w:pPr>
      <w:tabs>
        <w:tab w:val="right" w:pos="7371"/>
      </w:tabs>
      <w:ind w:left="220" w:right="1655"/>
    </w:pPr>
  </w:style>
  <w:style w:type="table" w:customStyle="1" w:styleId="LightList-Accent113">
    <w:name w:val="Light List - Accent 113"/>
    <w:basedOn w:val="TableNormal"/>
    <w:rsid w:val="00EA5C5F"/>
    <w:pPr>
      <w:spacing w:before="0" w:after="0" w:line="240" w:lineRule="auto"/>
    </w:pPr>
    <w:rPr>
      <w:rFonts w:ascii="Calibri" w:eastAsia="Times New Roman" w:hAnsi="Calibri" w:cs="Times New Roman"/>
      <w:color w:val="auto"/>
      <w:sz w:val="20"/>
      <w:szCs w:val="20"/>
      <w:lang w:val="en-US"/>
    </w:rPr>
    <w:tblPr>
      <w:tblStyleRowBandSize w:val="1"/>
      <w:tblStyleColBandSize w:val="1"/>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Pr>
    <w:tblStylePr w:type="firstRow">
      <w:pPr>
        <w:spacing w:before="0" w:after="0" w:line="240" w:lineRule="auto"/>
      </w:pPr>
      <w:rPr>
        <w:b/>
        <w:bCs/>
        <w:color w:val="FFFFFF"/>
      </w:rPr>
      <w:tblPr/>
      <w:tcPr>
        <w:shd w:val="clear" w:color="auto" w:fill="1F497D"/>
      </w:tcPr>
    </w:tblStylePr>
    <w:tblStylePr w:type="lastRow">
      <w:pPr>
        <w:spacing w:before="0" w:after="0" w:line="240" w:lineRule="auto"/>
      </w:pPr>
      <w:rPr>
        <w:b/>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shd w:val="clear" w:color="auto" w:fill="C6D9F1"/>
      </w:tcPr>
    </w:tblStylePr>
    <w:tblStylePr w:type="firstCol">
      <w:rPr>
        <w:b w:val="0"/>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lastCol">
      <w:rPr>
        <w:b w:val="0"/>
        <w:bCs/>
      </w:rPr>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1Vert">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2Vert">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1Horz">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tblStylePr w:type="band2Horz">
      <w:tblPr/>
      <w:tcPr>
        <w:tcBorders>
          <w:top w:val="single" w:sz="4" w:space="0" w:color="948A54"/>
          <w:left w:val="single" w:sz="4" w:space="0" w:color="948A54"/>
          <w:bottom w:val="single" w:sz="4" w:space="0" w:color="948A54"/>
          <w:right w:val="single" w:sz="4" w:space="0" w:color="948A54"/>
          <w:insideH w:val="single" w:sz="4" w:space="0" w:color="948A54"/>
          <w:insideV w:val="single" w:sz="4" w:space="0" w:color="948A54"/>
        </w:tcBorders>
      </w:tcPr>
    </w:tblStylePr>
  </w:style>
  <w:style w:type="character" w:styleId="SubtleEmphasis">
    <w:name w:val="Subtle Emphasis"/>
    <w:uiPriority w:val="19"/>
    <w:qFormat/>
    <w:rsid w:val="00EA5C5F"/>
    <w:rPr>
      <w:i/>
      <w:iCs/>
      <w:color w:val="0E1B33" w:themeColor="accent1" w:themeShade="7F"/>
    </w:rPr>
  </w:style>
  <w:style w:type="paragraph" w:customStyle="1" w:styleId="gmail-msolistparagraph">
    <w:name w:val="gmail-msolistparagraph"/>
    <w:basedOn w:val="Normal"/>
    <w:rsid w:val="00205A1C"/>
    <w:pPr>
      <w:spacing w:beforeAutospacing="1" w:afterAutospacing="1" w:line="240" w:lineRule="auto"/>
    </w:pPr>
    <w:rPr>
      <w:rFonts w:ascii="Calibri" w:eastAsiaTheme="minorHAnsi" w:hAnsi="Calibri" w:cs="Calibri"/>
      <w:color w:val="auto"/>
    </w:rPr>
  </w:style>
  <w:style w:type="paragraph" w:styleId="NormalWeb">
    <w:name w:val="Normal (Web)"/>
    <w:basedOn w:val="Normal"/>
    <w:uiPriority w:val="99"/>
    <w:semiHidden/>
    <w:unhideWhenUsed/>
    <w:rsid w:val="003352E4"/>
    <w:pPr>
      <w:spacing w:beforeAutospacing="1" w:afterAutospacing="1" w:line="240" w:lineRule="auto"/>
    </w:pPr>
    <w:rPr>
      <w:rFonts w:ascii="Times New Roman" w:eastAsia="Times New Roman" w:hAnsi="Times New Roman" w:cs="Times New Roman"/>
      <w:color w:val="auto"/>
      <w:sz w:val="24"/>
      <w:szCs w:val="24"/>
    </w:rPr>
  </w:style>
  <w:style w:type="character" w:customStyle="1" w:styleId="hgkelc">
    <w:name w:val="hgkelc"/>
    <w:basedOn w:val="DefaultParagraphFont"/>
    <w:rsid w:val="00A22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0596">
      <w:bodyDiv w:val="1"/>
      <w:marLeft w:val="0"/>
      <w:marRight w:val="0"/>
      <w:marTop w:val="0"/>
      <w:marBottom w:val="0"/>
      <w:divBdr>
        <w:top w:val="none" w:sz="0" w:space="0" w:color="auto"/>
        <w:left w:val="none" w:sz="0" w:space="0" w:color="auto"/>
        <w:bottom w:val="none" w:sz="0" w:space="0" w:color="auto"/>
        <w:right w:val="none" w:sz="0" w:space="0" w:color="auto"/>
      </w:divBdr>
    </w:div>
    <w:div w:id="805590100">
      <w:bodyDiv w:val="1"/>
      <w:marLeft w:val="0"/>
      <w:marRight w:val="0"/>
      <w:marTop w:val="0"/>
      <w:marBottom w:val="0"/>
      <w:divBdr>
        <w:top w:val="none" w:sz="0" w:space="0" w:color="auto"/>
        <w:left w:val="none" w:sz="0" w:space="0" w:color="auto"/>
        <w:bottom w:val="none" w:sz="0" w:space="0" w:color="auto"/>
        <w:right w:val="none" w:sz="0" w:space="0" w:color="auto"/>
      </w:divBdr>
    </w:div>
    <w:div w:id="10839174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HNW Planning">
      <a:dk1>
        <a:srgbClr val="414042"/>
      </a:dk1>
      <a:lt1>
        <a:sysClr val="window" lastClr="FFFFFF"/>
      </a:lt1>
      <a:dk2>
        <a:srgbClr val="1C3867"/>
      </a:dk2>
      <a:lt2>
        <a:srgbClr val="85754E"/>
      </a:lt2>
      <a:accent1>
        <a:srgbClr val="1C3867"/>
      </a:accent1>
      <a:accent2>
        <a:srgbClr val="85754E"/>
      </a:accent2>
      <a:accent3>
        <a:srgbClr val="BFBFBF"/>
      </a:accent3>
      <a:accent4>
        <a:srgbClr val="D8E3F4"/>
      </a:accent4>
      <a:accent5>
        <a:srgbClr val="8FAEE1"/>
      </a:accent5>
      <a:accent6>
        <a:srgbClr val="F3F1ED"/>
      </a:accent6>
      <a:hlink>
        <a:srgbClr val="414042"/>
      </a:hlink>
      <a:folHlink>
        <a:srgbClr val="414042"/>
      </a:folHlink>
    </a:clrScheme>
    <a:fontScheme name="HNW Planning">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B7E12DB769164D9B28CF2966ED06A5" ma:contentTypeVersion="22" ma:contentTypeDescription="Create a new document." ma:contentTypeScope="" ma:versionID="3037460597eb4d87dc7af47562dc9c26">
  <xsd:schema xmlns:xsd="http://www.w3.org/2001/XMLSchema" xmlns:xs="http://www.w3.org/2001/XMLSchema" xmlns:p="http://schemas.microsoft.com/office/2006/metadata/properties" xmlns:ns1="http://schemas.microsoft.com/sharepoint/v3" xmlns:ns2="05ed5d80-5be2-462c-bec3-14caa38b63ef" xmlns:ns3="d34886c6-c96d-4e06-9b0f-8bf2e5627e94" targetNamespace="http://schemas.microsoft.com/office/2006/metadata/properties" ma:root="true" ma:fieldsID="89ba00586d30f88339b979821a5fd9e8" ns1:_="" ns2:_="" ns3:_="">
    <xsd:import namespace="http://schemas.microsoft.com/sharepoint/v3"/>
    <xsd:import namespace="05ed5d80-5be2-462c-bec3-14caa38b63ef"/>
    <xsd:import namespace="d34886c6-c96d-4e06-9b0f-8bf2e5627e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ed5d80-5be2-462c-bec3-14caa38b6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80ed09-d592-4bd7-b427-6fdad931ee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886c6-c96d-4e06-9b0f-8bf2e5627e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e7be3a-e7a5-4894-b300-2d15a6cac6d7}" ma:internalName="TaxCatchAll" ma:showField="CatchAllData" ma:web="d34886c6-c96d-4e06-9b0f-8bf2e5627e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5ed5d80-5be2-462c-bec3-14caa38b63ef">
      <Terms xmlns="http://schemas.microsoft.com/office/infopath/2007/PartnerControls"/>
    </lcf76f155ced4ddcb4097134ff3c332f>
    <TaxCatchAll xmlns="d34886c6-c96d-4e06-9b0f-8bf2e5627e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8811-5734-4773-A6BB-0A01F4804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ed5d80-5be2-462c-bec3-14caa38b63ef"/>
    <ds:schemaRef ds:uri="d34886c6-c96d-4e06-9b0f-8bf2e5627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EC7535-EEFA-48B2-B4A4-8F7C3B105FAA}">
  <ds:schemaRefs>
    <ds:schemaRef ds:uri="http://schemas.microsoft.com/office/2006/metadata/properties"/>
    <ds:schemaRef ds:uri="http://schemas.microsoft.com/office/infopath/2007/PartnerControls"/>
    <ds:schemaRef ds:uri="http://schemas.microsoft.com/sharepoint/v3"/>
    <ds:schemaRef ds:uri="05ed5d80-5be2-462c-bec3-14caa38b63ef"/>
    <ds:schemaRef ds:uri="d34886c6-c96d-4e06-9b0f-8bf2e5627e94"/>
  </ds:schemaRefs>
</ds:datastoreItem>
</file>

<file path=customXml/itemProps3.xml><?xml version="1.0" encoding="utf-8"?>
<ds:datastoreItem xmlns:ds="http://schemas.openxmlformats.org/officeDocument/2006/customXml" ds:itemID="{23318C5E-F377-4601-B368-E1F49B30C0EE}">
  <ds:schemaRefs>
    <ds:schemaRef ds:uri="http://schemas.microsoft.com/sharepoint/v3/contenttype/forms"/>
  </ds:schemaRefs>
</ds:datastoreItem>
</file>

<file path=customXml/itemProps4.xml><?xml version="1.0" encoding="utf-8"?>
<ds:datastoreItem xmlns:ds="http://schemas.openxmlformats.org/officeDocument/2006/customXml" ds:itemID="{AC1015A8-CD1F-494F-AD69-791D596A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dc:creator>
  <cp:keywords/>
  <dc:description/>
  <cp:lastModifiedBy>Hugh Dive</cp:lastModifiedBy>
  <cp:revision>2</cp:revision>
  <cp:lastPrinted>2026-09-17T05:15:00Z</cp:lastPrinted>
  <dcterms:created xsi:type="dcterms:W3CDTF">2026-09-17T05:16:00Z</dcterms:created>
  <dcterms:modified xsi:type="dcterms:W3CDTF">2026-09-17T05:16:00Z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0x0101002CB7E12DB769164D9B28CF2966ED06A5</vt:lpwstr>
  </property>
  <property fmtid="{D5CDD505-2E9C-101B-9397-08002B2CF9AE}" pid="3" name="GrammarlyDocumentId">
    <vt:lpwstr>573f9722-ef06-4113-8916-106dd9cdea7e</vt:lpwstr>
  </property>
  <property fmtid="{D5CDD505-2E9C-101B-9397-08002B2CF9AE}" pid="4" name="MediaServiceImageTags">
    <vt:lpwstr/>
  </property>
</Properties>
</file>